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F" w:rsidRP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before="240" w:after="60" w:line="240" w:lineRule="auto"/>
        <w:jc w:val="center"/>
        <w:outlineLvl w:val="0"/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</w:pPr>
      <w:bookmarkStart w:id="0" w:name="OLE_LINK1"/>
      <w:bookmarkStart w:id="1" w:name="OLE_LINK2"/>
      <w:r w:rsidRPr="00FB566F"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  <w:t>REGLUGERÐ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FB566F">
        <w:rPr>
          <w:rFonts w:ascii="Times" w:eastAsia="Times New Roman" w:hAnsi="Times" w:cs="Times New Roman"/>
          <w:b/>
          <w:sz w:val="21"/>
          <w:szCs w:val="20"/>
          <w:lang w:eastAsia="en-GB"/>
        </w:rPr>
        <w:t>um brey</w:t>
      </w:r>
      <w:r>
        <w:rPr>
          <w:rFonts w:ascii="Times" w:eastAsia="Times New Roman" w:hAnsi="Times" w:cs="Times New Roman"/>
          <w:b/>
          <w:sz w:val="21"/>
          <w:szCs w:val="20"/>
          <w:lang w:eastAsia="en-GB"/>
        </w:rPr>
        <w:t>tingu á reglugerð nr. 743/2001, um skoðanir ekjuferja og háhraðafarþegafara í millilandasiglingum, með síðari breytingum.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1. gr.</w:t>
      </w:r>
    </w:p>
    <w:p w:rsidR="00366187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i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i/>
          <w:sz w:val="21"/>
          <w:szCs w:val="20"/>
          <w:lang w:eastAsia="en-GB"/>
        </w:rPr>
        <w:t>Breyting á heiti reglugerðarinnar.</w:t>
      </w:r>
      <w:bookmarkEnd w:id="0"/>
      <w:bookmarkEnd w:id="1"/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 xml:space="preserve">Heiti reglugerðarinnar verður: </w:t>
      </w:r>
      <w:r>
        <w:rPr>
          <w:rFonts w:ascii="Times" w:eastAsia="Times New Roman" w:hAnsi="Times" w:cs="Times New Roman"/>
          <w:b/>
          <w:sz w:val="21"/>
          <w:szCs w:val="20"/>
          <w:lang w:eastAsia="en-GB"/>
        </w:rPr>
        <w:t>Reglugerð um skoðanir ekjuferja og háhraðafarþegafara í innanlands- og millilandasiglingum.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2. gr.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i/>
          <w:sz w:val="21"/>
          <w:szCs w:val="20"/>
          <w:lang w:eastAsia="en-GB"/>
        </w:rPr>
        <w:t>Breyting á reglugerð</w:t>
      </w:r>
      <w:r w:rsidR="00B47550">
        <w:rPr>
          <w:rFonts w:ascii="Times" w:eastAsia="Times New Roman" w:hAnsi="Times" w:cs="Times New Roman"/>
          <w:i/>
          <w:sz w:val="21"/>
          <w:szCs w:val="20"/>
          <w:lang w:eastAsia="en-GB"/>
        </w:rPr>
        <w:t>inni</w:t>
      </w:r>
      <w:r>
        <w:rPr>
          <w:rFonts w:ascii="Times" w:eastAsia="Times New Roman" w:hAnsi="Times" w:cs="Times New Roman"/>
          <w:i/>
          <w:sz w:val="21"/>
          <w:szCs w:val="20"/>
          <w:lang w:eastAsia="en-GB"/>
        </w:rPr>
        <w:t xml:space="preserve"> vegna nýrra samgöngustofnana.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 xml:space="preserve">Hvar sem orðin „Siglingastofnun Íslands“ og „Siglingastofnun“, í hvers konar beygingarfalli, koma fyrir í reglugerðinni kemur, í viðeigandi beygingarfalli: </w:t>
      </w:r>
      <w:r w:rsidRPr="00FB566F">
        <w:rPr>
          <w:rFonts w:ascii="Times" w:eastAsia="Times New Roman" w:hAnsi="Times" w:cs="Times New Roman"/>
          <w:b/>
          <w:sz w:val="21"/>
          <w:szCs w:val="20"/>
          <w:lang w:eastAsia="en-GB"/>
        </w:rPr>
        <w:t>Samgöngustofa</w:t>
      </w:r>
      <w:r>
        <w:rPr>
          <w:rFonts w:ascii="Times" w:eastAsia="Times New Roman" w:hAnsi="Times" w:cs="Times New Roman"/>
          <w:sz w:val="21"/>
          <w:szCs w:val="20"/>
          <w:lang w:eastAsia="en-GB"/>
        </w:rPr>
        <w:t>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3. gr.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Í stað orðsins „Evrópusambandsins“ í 3. gr. reglugerðarinnar kemur: Evrópska efnahagssvæðisins.</w:t>
      </w: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FB566F" w:rsidRDefault="00FB566F" w:rsidP="00FB566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4. gr.</w:t>
      </w:r>
    </w:p>
    <w:p w:rsidR="00FB566F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Í stað orðsins „93/34/EB“ í e-lið 1. mgr. 4. gr. kemur: 98/34/EB.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5. gr.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b-liður 1. mgr. 5. gr. orðast svo: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muni samþykkja fyrirfram að Rannsóknarnefnd samgönguslysa og sérhvert aðildarríki EES sem hefur mikilla hagsmuna að gæta megi annast, taka fullan þátt í eða eiga samvinnu um allar rannsóknir sjóslysa eða sjóatvika skv. 12. gr., og muni veita aðgang að upplýsingum sem fást</w:t>
      </w:r>
      <w:r w:rsidR="00E51B86">
        <w:rPr>
          <w:rFonts w:ascii="Times" w:eastAsia="Times New Roman" w:hAnsi="Times" w:cs="Times New Roman"/>
          <w:sz w:val="21"/>
          <w:szCs w:val="20"/>
          <w:lang w:eastAsia="en-GB"/>
        </w:rPr>
        <w:t xml:space="preserve"> ú</w:t>
      </w:r>
      <w:r>
        <w:rPr>
          <w:rFonts w:ascii="Times" w:eastAsia="Times New Roman" w:hAnsi="Times" w:cs="Times New Roman"/>
          <w:sz w:val="21"/>
          <w:szCs w:val="20"/>
          <w:lang w:eastAsia="en-GB"/>
        </w:rPr>
        <w:t>r siglingarrita ferjunnar eða farsins er verður fyrir slíku slysi eða atviki.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6. gr.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16. gr. reglugerðarinnar orðast svo:</w:t>
      </w:r>
    </w:p>
    <w:p w:rsidR="0052783D" w:rsidRDefault="0052783D" w:rsidP="0052783D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 xml:space="preserve">Um brot gegn ákvæðum þessarar reglugerðar fer eftir VII. kafla laga nr. </w:t>
      </w:r>
      <w:r w:rsidR="00B47550">
        <w:rPr>
          <w:rFonts w:ascii="Times" w:eastAsia="Times New Roman" w:hAnsi="Times" w:cs="Times New Roman"/>
          <w:sz w:val="21"/>
          <w:szCs w:val="20"/>
          <w:lang w:eastAsia="en-GB"/>
        </w:rPr>
        <w:t>47/2003, um eftirlit með skipum, með síðari breytingum.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7. gr.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Í stað orðanna „áætlun um aðgerðir vegna leka“ í 1. tölul. III. viðauka kemur: viðbragðsáætlun gegn tjóni sem veldur leka.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8. gr.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5. málsl. 2. tölul. IV. viðauka orðast svo: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Að viðbragðsáætlanir gegn tjóni sem veldur leka séu jafnan sýnilegar og að yfirmenn skipsins hafi fengið í hendur handbækur með upplýsingum um viðbragðsáætlanir gegn tjóni sem veldur leka.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9. gr.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sz w:val="21"/>
          <w:szCs w:val="20"/>
          <w:lang w:eastAsia="en-GB"/>
        </w:rPr>
        <w:t>Reglugerð þessi er sett með heimild í 4. mgr. 1. gr. laga nr. 47/2003, um eftirlit með skipum, með síðari breytingum, og öðlast þegar gildi.</w:t>
      </w: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</w:p>
    <w:p w:rsid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i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i/>
          <w:sz w:val="21"/>
          <w:szCs w:val="20"/>
          <w:lang w:eastAsia="en-GB"/>
        </w:rPr>
        <w:t>Innanríkisráðuneytinu, 2014.</w:t>
      </w:r>
    </w:p>
    <w:p w:rsidR="00B47550" w:rsidRPr="00B47550" w:rsidRDefault="00B47550" w:rsidP="00B4755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sz w:val="21"/>
          <w:szCs w:val="20"/>
          <w:lang w:eastAsia="en-GB"/>
        </w:rPr>
      </w:pPr>
      <w:bookmarkStart w:id="2" w:name="_GoBack"/>
      <w:bookmarkEnd w:id="2"/>
    </w:p>
    <w:sectPr w:rsidR="00B47550" w:rsidRPr="00B47550" w:rsidSect="00B4755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3D" w:rsidRDefault="0052783D" w:rsidP="00FB566F">
      <w:pPr>
        <w:spacing w:after="0" w:line="240" w:lineRule="auto"/>
      </w:pPr>
      <w:r>
        <w:separator/>
      </w:r>
    </w:p>
  </w:endnote>
  <w:endnote w:type="continuationSeparator" w:id="0">
    <w:p w:rsidR="0052783D" w:rsidRDefault="0052783D" w:rsidP="00F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3D" w:rsidRDefault="0052783D" w:rsidP="00FB566F">
      <w:pPr>
        <w:spacing w:after="0" w:line="240" w:lineRule="auto"/>
      </w:pPr>
      <w:r>
        <w:separator/>
      </w:r>
    </w:p>
  </w:footnote>
  <w:footnote w:type="continuationSeparator" w:id="0">
    <w:p w:rsidR="0052783D" w:rsidRDefault="0052783D" w:rsidP="00FB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3D" w:rsidRPr="00B47550" w:rsidRDefault="00B47550" w:rsidP="00B47550">
    <w:pPr>
      <w:pStyle w:val="Header"/>
      <w:tabs>
        <w:tab w:val="right" w:pos="8505"/>
      </w:tabs>
      <w:jc w:val="right"/>
      <w:rPr>
        <w:b/>
        <w:i/>
        <w:sz w:val="24"/>
        <w:szCs w:val="21"/>
      </w:rPr>
    </w:pPr>
    <w:r w:rsidRPr="00B47550">
      <w:rPr>
        <w:b/>
        <w:i/>
        <w:sz w:val="24"/>
        <w:szCs w:val="21"/>
      </w:rPr>
      <w:t>Drög í vinnslu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5"/>
    <w:rsid w:val="000253AC"/>
    <w:rsid w:val="00040524"/>
    <w:rsid w:val="00043199"/>
    <w:rsid w:val="00043453"/>
    <w:rsid w:val="00043ABE"/>
    <w:rsid w:val="00082349"/>
    <w:rsid w:val="00091FE9"/>
    <w:rsid w:val="000A2FA0"/>
    <w:rsid w:val="000C2DEC"/>
    <w:rsid w:val="000D3E21"/>
    <w:rsid w:val="00100831"/>
    <w:rsid w:val="00106C86"/>
    <w:rsid w:val="001116BA"/>
    <w:rsid w:val="0012537A"/>
    <w:rsid w:val="00126517"/>
    <w:rsid w:val="00132000"/>
    <w:rsid w:val="001474D0"/>
    <w:rsid w:val="00152A37"/>
    <w:rsid w:val="001639D7"/>
    <w:rsid w:val="00171195"/>
    <w:rsid w:val="00195940"/>
    <w:rsid w:val="001B3BB8"/>
    <w:rsid w:val="001B4E7D"/>
    <w:rsid w:val="001D78FB"/>
    <w:rsid w:val="001E3FA7"/>
    <w:rsid w:val="00200B1A"/>
    <w:rsid w:val="00213855"/>
    <w:rsid w:val="00215DB7"/>
    <w:rsid w:val="0022245A"/>
    <w:rsid w:val="00237D4A"/>
    <w:rsid w:val="00241226"/>
    <w:rsid w:val="002506BF"/>
    <w:rsid w:val="0025310B"/>
    <w:rsid w:val="0026082D"/>
    <w:rsid w:val="002721C7"/>
    <w:rsid w:val="00282638"/>
    <w:rsid w:val="00284C53"/>
    <w:rsid w:val="00287F67"/>
    <w:rsid w:val="002A338E"/>
    <w:rsid w:val="002C0960"/>
    <w:rsid w:val="002D6640"/>
    <w:rsid w:val="002D7CFD"/>
    <w:rsid w:val="002E54C6"/>
    <w:rsid w:val="00322D3A"/>
    <w:rsid w:val="003233AC"/>
    <w:rsid w:val="0032588E"/>
    <w:rsid w:val="003309AD"/>
    <w:rsid w:val="0034453F"/>
    <w:rsid w:val="00344E36"/>
    <w:rsid w:val="00354356"/>
    <w:rsid w:val="00366187"/>
    <w:rsid w:val="00372F49"/>
    <w:rsid w:val="00383596"/>
    <w:rsid w:val="003864F5"/>
    <w:rsid w:val="003920EC"/>
    <w:rsid w:val="0039216E"/>
    <w:rsid w:val="003931AC"/>
    <w:rsid w:val="00393236"/>
    <w:rsid w:val="003A0C28"/>
    <w:rsid w:val="003B04D3"/>
    <w:rsid w:val="003B2771"/>
    <w:rsid w:val="003C268A"/>
    <w:rsid w:val="003C71D5"/>
    <w:rsid w:val="003D357E"/>
    <w:rsid w:val="003D64E8"/>
    <w:rsid w:val="003F2C28"/>
    <w:rsid w:val="00414E25"/>
    <w:rsid w:val="004223ED"/>
    <w:rsid w:val="004251A4"/>
    <w:rsid w:val="004334D2"/>
    <w:rsid w:val="004469E1"/>
    <w:rsid w:val="00454BE3"/>
    <w:rsid w:val="00461504"/>
    <w:rsid w:val="004628F8"/>
    <w:rsid w:val="00471946"/>
    <w:rsid w:val="00471B81"/>
    <w:rsid w:val="004751C4"/>
    <w:rsid w:val="004762EA"/>
    <w:rsid w:val="00494FD5"/>
    <w:rsid w:val="004A0DB6"/>
    <w:rsid w:val="004A53F3"/>
    <w:rsid w:val="004B3819"/>
    <w:rsid w:val="004B767C"/>
    <w:rsid w:val="004F2D2D"/>
    <w:rsid w:val="00506D09"/>
    <w:rsid w:val="00517E5D"/>
    <w:rsid w:val="00521947"/>
    <w:rsid w:val="00522FB7"/>
    <w:rsid w:val="005230C4"/>
    <w:rsid w:val="0052783D"/>
    <w:rsid w:val="005311C3"/>
    <w:rsid w:val="00533495"/>
    <w:rsid w:val="0054184D"/>
    <w:rsid w:val="00555CF1"/>
    <w:rsid w:val="00563604"/>
    <w:rsid w:val="00575A0B"/>
    <w:rsid w:val="00590851"/>
    <w:rsid w:val="00592A7A"/>
    <w:rsid w:val="00594411"/>
    <w:rsid w:val="005A36FF"/>
    <w:rsid w:val="005B12E3"/>
    <w:rsid w:val="005C45B6"/>
    <w:rsid w:val="005C5CF1"/>
    <w:rsid w:val="005F203F"/>
    <w:rsid w:val="0062189A"/>
    <w:rsid w:val="00647A2E"/>
    <w:rsid w:val="00652F16"/>
    <w:rsid w:val="00663D6E"/>
    <w:rsid w:val="00676A65"/>
    <w:rsid w:val="006872DB"/>
    <w:rsid w:val="00697722"/>
    <w:rsid w:val="006A1F76"/>
    <w:rsid w:val="006A4403"/>
    <w:rsid w:val="006A53C4"/>
    <w:rsid w:val="006B0A39"/>
    <w:rsid w:val="006B4F9C"/>
    <w:rsid w:val="006B74A0"/>
    <w:rsid w:val="006D4D8C"/>
    <w:rsid w:val="006F19D9"/>
    <w:rsid w:val="006F6305"/>
    <w:rsid w:val="00717415"/>
    <w:rsid w:val="00724427"/>
    <w:rsid w:val="007267C0"/>
    <w:rsid w:val="00726C8B"/>
    <w:rsid w:val="0073128A"/>
    <w:rsid w:val="00734889"/>
    <w:rsid w:val="00735B13"/>
    <w:rsid w:val="00750EB6"/>
    <w:rsid w:val="00752E1E"/>
    <w:rsid w:val="00771746"/>
    <w:rsid w:val="00785EE6"/>
    <w:rsid w:val="007B0500"/>
    <w:rsid w:val="007B277B"/>
    <w:rsid w:val="007E3CA0"/>
    <w:rsid w:val="007E5B14"/>
    <w:rsid w:val="007F294E"/>
    <w:rsid w:val="00800DF8"/>
    <w:rsid w:val="00802FE6"/>
    <w:rsid w:val="00803664"/>
    <w:rsid w:val="00827A4C"/>
    <w:rsid w:val="00831F70"/>
    <w:rsid w:val="00835515"/>
    <w:rsid w:val="00835762"/>
    <w:rsid w:val="00840CD3"/>
    <w:rsid w:val="00847E5E"/>
    <w:rsid w:val="0085726F"/>
    <w:rsid w:val="00870F6E"/>
    <w:rsid w:val="00874CA7"/>
    <w:rsid w:val="008A38DD"/>
    <w:rsid w:val="008A66B9"/>
    <w:rsid w:val="008A66E0"/>
    <w:rsid w:val="008C74C6"/>
    <w:rsid w:val="008D183A"/>
    <w:rsid w:val="008D4988"/>
    <w:rsid w:val="008F6FBD"/>
    <w:rsid w:val="00916E0C"/>
    <w:rsid w:val="00931087"/>
    <w:rsid w:val="00953DD4"/>
    <w:rsid w:val="00966FBA"/>
    <w:rsid w:val="00986DA8"/>
    <w:rsid w:val="009946A7"/>
    <w:rsid w:val="009A48D1"/>
    <w:rsid w:val="009B7EC5"/>
    <w:rsid w:val="009E7EA3"/>
    <w:rsid w:val="00A029F2"/>
    <w:rsid w:val="00A11D48"/>
    <w:rsid w:val="00A14B8F"/>
    <w:rsid w:val="00A36A56"/>
    <w:rsid w:val="00A41813"/>
    <w:rsid w:val="00A50EDA"/>
    <w:rsid w:val="00A51F98"/>
    <w:rsid w:val="00A5450C"/>
    <w:rsid w:val="00A62722"/>
    <w:rsid w:val="00A81E3C"/>
    <w:rsid w:val="00A8213A"/>
    <w:rsid w:val="00A9527F"/>
    <w:rsid w:val="00A95E68"/>
    <w:rsid w:val="00AA414F"/>
    <w:rsid w:val="00AF191A"/>
    <w:rsid w:val="00AF3CD5"/>
    <w:rsid w:val="00AF5AAD"/>
    <w:rsid w:val="00B0402D"/>
    <w:rsid w:val="00B16A9E"/>
    <w:rsid w:val="00B25456"/>
    <w:rsid w:val="00B31AEB"/>
    <w:rsid w:val="00B3331D"/>
    <w:rsid w:val="00B35DA6"/>
    <w:rsid w:val="00B47550"/>
    <w:rsid w:val="00B47BE7"/>
    <w:rsid w:val="00B70D8B"/>
    <w:rsid w:val="00B96F71"/>
    <w:rsid w:val="00BA1C60"/>
    <w:rsid w:val="00BA6E09"/>
    <w:rsid w:val="00BB1AF7"/>
    <w:rsid w:val="00BB5443"/>
    <w:rsid w:val="00BC1326"/>
    <w:rsid w:val="00BD13D6"/>
    <w:rsid w:val="00BF5C20"/>
    <w:rsid w:val="00C0292F"/>
    <w:rsid w:val="00C04DAF"/>
    <w:rsid w:val="00C25330"/>
    <w:rsid w:val="00C338DA"/>
    <w:rsid w:val="00C36C10"/>
    <w:rsid w:val="00C447A6"/>
    <w:rsid w:val="00C54D79"/>
    <w:rsid w:val="00C74427"/>
    <w:rsid w:val="00C74F6B"/>
    <w:rsid w:val="00C77A6E"/>
    <w:rsid w:val="00C87164"/>
    <w:rsid w:val="00C947D1"/>
    <w:rsid w:val="00CA2A1B"/>
    <w:rsid w:val="00CA7136"/>
    <w:rsid w:val="00CD4D60"/>
    <w:rsid w:val="00CE0C72"/>
    <w:rsid w:val="00CE3647"/>
    <w:rsid w:val="00D06AB1"/>
    <w:rsid w:val="00D26F7C"/>
    <w:rsid w:val="00D304FF"/>
    <w:rsid w:val="00D33964"/>
    <w:rsid w:val="00D36118"/>
    <w:rsid w:val="00D51684"/>
    <w:rsid w:val="00D57D5D"/>
    <w:rsid w:val="00D6164A"/>
    <w:rsid w:val="00D62F51"/>
    <w:rsid w:val="00D75223"/>
    <w:rsid w:val="00DA480A"/>
    <w:rsid w:val="00DB3FFE"/>
    <w:rsid w:val="00DC204F"/>
    <w:rsid w:val="00DD3140"/>
    <w:rsid w:val="00DF3294"/>
    <w:rsid w:val="00E032DA"/>
    <w:rsid w:val="00E152A2"/>
    <w:rsid w:val="00E237EA"/>
    <w:rsid w:val="00E30164"/>
    <w:rsid w:val="00E301F8"/>
    <w:rsid w:val="00E316A3"/>
    <w:rsid w:val="00E51B86"/>
    <w:rsid w:val="00E67D83"/>
    <w:rsid w:val="00E848B3"/>
    <w:rsid w:val="00E8725A"/>
    <w:rsid w:val="00E92925"/>
    <w:rsid w:val="00E93DE3"/>
    <w:rsid w:val="00EA1E50"/>
    <w:rsid w:val="00EA2FF6"/>
    <w:rsid w:val="00EA34DE"/>
    <w:rsid w:val="00EB2214"/>
    <w:rsid w:val="00EB4268"/>
    <w:rsid w:val="00EC29E0"/>
    <w:rsid w:val="00EC51AC"/>
    <w:rsid w:val="00ED2B13"/>
    <w:rsid w:val="00ED69A3"/>
    <w:rsid w:val="00EE1092"/>
    <w:rsid w:val="00EE37FA"/>
    <w:rsid w:val="00F04397"/>
    <w:rsid w:val="00F067AC"/>
    <w:rsid w:val="00F14C27"/>
    <w:rsid w:val="00F338CF"/>
    <w:rsid w:val="00F37C51"/>
    <w:rsid w:val="00F6430B"/>
    <w:rsid w:val="00F658CF"/>
    <w:rsid w:val="00F67E53"/>
    <w:rsid w:val="00F87355"/>
    <w:rsid w:val="00FA362B"/>
    <w:rsid w:val="00FB566F"/>
    <w:rsid w:val="00FD1EA6"/>
    <w:rsid w:val="00FE0C74"/>
    <w:rsid w:val="00FE54BA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566F"/>
  </w:style>
  <w:style w:type="paragraph" w:styleId="Footer">
    <w:name w:val="footer"/>
    <w:basedOn w:val="Normal"/>
    <w:link w:val="FooterChar"/>
    <w:uiPriority w:val="99"/>
    <w:unhideWhenUsed/>
    <w:rsid w:val="00FB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566F"/>
  </w:style>
  <w:style w:type="paragraph" w:styleId="Footer">
    <w:name w:val="footer"/>
    <w:basedOn w:val="Normal"/>
    <w:link w:val="FooterChar"/>
    <w:uiPriority w:val="99"/>
    <w:unhideWhenUsed/>
    <w:rsid w:val="00FB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Freyr Björnsson</dc:creator>
  <cp:lastModifiedBy>Jóhannes Tómasson</cp:lastModifiedBy>
  <cp:revision>3</cp:revision>
  <dcterms:created xsi:type="dcterms:W3CDTF">2014-11-04T09:22:00Z</dcterms:created>
  <dcterms:modified xsi:type="dcterms:W3CDTF">2014-11-04T09:41:00Z</dcterms:modified>
</cp:coreProperties>
</file>