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09" w:rsidRPr="006B4D14" w:rsidRDefault="00443709" w:rsidP="00C20A54">
      <w:pPr>
        <w:jc w:val="center"/>
        <w:rPr>
          <w:sz w:val="28"/>
          <w:szCs w:val="28"/>
        </w:rPr>
      </w:pPr>
      <w:r w:rsidRPr="006B4D14">
        <w:rPr>
          <w:sz w:val="28"/>
          <w:szCs w:val="28"/>
        </w:rPr>
        <w:t>Reglugerð</w:t>
      </w:r>
    </w:p>
    <w:p w:rsidR="00443709" w:rsidRDefault="00443709" w:rsidP="00F26E03">
      <w:pPr>
        <w:jc w:val="center"/>
      </w:pPr>
      <w:r w:rsidRPr="006B4D14">
        <w:rPr>
          <w:sz w:val="28"/>
          <w:szCs w:val="28"/>
        </w:rPr>
        <w:t xml:space="preserve">um </w:t>
      </w:r>
      <w:r>
        <w:rPr>
          <w:sz w:val="28"/>
          <w:szCs w:val="28"/>
        </w:rPr>
        <w:t>öryggisstjórnun vegamannvirkj</w:t>
      </w:r>
      <w:r w:rsidRPr="006B4D14">
        <w:rPr>
          <w:sz w:val="28"/>
          <w:szCs w:val="28"/>
        </w:rPr>
        <w:t>a</w:t>
      </w:r>
    </w:p>
    <w:p w:rsidR="00443709" w:rsidRDefault="00443709" w:rsidP="00C038F6">
      <w:pPr>
        <w:jc w:val="center"/>
      </w:pPr>
    </w:p>
    <w:p w:rsidR="00443709" w:rsidRPr="007D4AD4" w:rsidRDefault="00443709" w:rsidP="007D4AD4">
      <w:pPr>
        <w:jc w:val="center"/>
        <w:rPr>
          <w:b/>
        </w:rPr>
      </w:pPr>
      <w:r w:rsidRPr="007D4AD4">
        <w:rPr>
          <w:b/>
        </w:rPr>
        <w:t>Almenn ákvæði</w:t>
      </w:r>
    </w:p>
    <w:p w:rsidR="00443709" w:rsidRDefault="00443709" w:rsidP="007D4AD4">
      <w:pPr>
        <w:jc w:val="center"/>
      </w:pPr>
      <w:r>
        <w:t>1. gr.</w:t>
      </w:r>
    </w:p>
    <w:p w:rsidR="00443709" w:rsidRPr="007D4AD4" w:rsidRDefault="00443709" w:rsidP="007D4AD4">
      <w:pPr>
        <w:jc w:val="center"/>
        <w:rPr>
          <w:i/>
        </w:rPr>
      </w:pPr>
      <w:r w:rsidRPr="007D4AD4">
        <w:rPr>
          <w:i/>
        </w:rPr>
        <w:t>Markmið og gildissvið</w:t>
      </w:r>
    </w:p>
    <w:p w:rsidR="00443709" w:rsidRDefault="00443709" w:rsidP="00132FEB">
      <w:r>
        <w:t xml:space="preserve">Markmið öryggisstjórnunar vegamannvirkja er að fækka umferðarslysum með því að fylgja ákveðinni aðferðafræði sem hefur umferðaröryggi að leiðarljósi  við  undirbúning og lagningu nýrra vega sem og við úttektir á vegum sem þegar hafa verið teknir í notkun.  </w:t>
      </w:r>
    </w:p>
    <w:p w:rsidR="00443709" w:rsidRDefault="00443709" w:rsidP="007D4AD4"/>
    <w:p w:rsidR="00443709" w:rsidRDefault="00443709" w:rsidP="007D4AD4">
      <w:r>
        <w:t>Reglugerðin gildir um vegi sem eru hluti af samevrópska vegakerfinu hér á landi, hvort sem þeir eru á hönnunarstigi, á framkvæmdastigi eða í notkun. Reglugerðin gildir ekki um jarðgöng sem falla undir reglugerð nr. 992/2007 um öryggiskröfur fyrir jarðgöng.</w:t>
      </w:r>
    </w:p>
    <w:p w:rsidR="00443709" w:rsidRDefault="00443709" w:rsidP="007D4AD4"/>
    <w:p w:rsidR="00443709" w:rsidRDefault="00443709" w:rsidP="00D12145">
      <w:pPr>
        <w:jc w:val="center"/>
      </w:pPr>
      <w:r>
        <w:t>2. gr.</w:t>
      </w:r>
    </w:p>
    <w:p w:rsidR="00443709" w:rsidRPr="00D12145" w:rsidRDefault="00443709" w:rsidP="00D12145">
      <w:pPr>
        <w:jc w:val="center"/>
        <w:rPr>
          <w:i/>
        </w:rPr>
      </w:pPr>
      <w:r>
        <w:rPr>
          <w:i/>
        </w:rPr>
        <w:t>Skilgrein</w:t>
      </w:r>
      <w:r w:rsidRPr="00D12145">
        <w:rPr>
          <w:i/>
        </w:rPr>
        <w:t>ingar</w:t>
      </w:r>
    </w:p>
    <w:p w:rsidR="00443709" w:rsidRDefault="00443709" w:rsidP="002165DE">
      <w:pPr>
        <w:pStyle w:val="meginml"/>
        <w:rPr>
          <w:sz w:val="24"/>
        </w:rPr>
      </w:pPr>
      <w:r w:rsidRPr="002165DE">
        <w:rPr>
          <w:sz w:val="24"/>
        </w:rPr>
        <w:t xml:space="preserve">Í </w:t>
      </w:r>
      <w:r>
        <w:rPr>
          <w:sz w:val="24"/>
        </w:rPr>
        <w:t>reglugerð þessari</w:t>
      </w:r>
      <w:r w:rsidRPr="002165DE">
        <w:rPr>
          <w:sz w:val="24"/>
        </w:rPr>
        <w:t xml:space="preserve"> er</w:t>
      </w:r>
      <w:r>
        <w:rPr>
          <w:sz w:val="24"/>
        </w:rPr>
        <w:t>u</w:t>
      </w:r>
      <w:r w:rsidRPr="002165DE">
        <w:rPr>
          <w:sz w:val="24"/>
        </w:rPr>
        <w:t xml:space="preserve"> eftirfarandi hugt</w:t>
      </w:r>
      <w:r>
        <w:rPr>
          <w:sz w:val="24"/>
        </w:rPr>
        <w:t>ök</w:t>
      </w:r>
      <w:r w:rsidRPr="002165DE">
        <w:rPr>
          <w:sz w:val="24"/>
        </w:rPr>
        <w:t xml:space="preserve"> </w:t>
      </w:r>
      <w:r>
        <w:rPr>
          <w:sz w:val="24"/>
        </w:rPr>
        <w:t xml:space="preserve">skilgreind </w:t>
      </w:r>
      <w:r w:rsidRPr="002165DE">
        <w:rPr>
          <w:sz w:val="24"/>
        </w:rPr>
        <w:t>sem hér segir:</w:t>
      </w:r>
    </w:p>
    <w:p w:rsidR="00443709" w:rsidRPr="002165DE" w:rsidRDefault="00443709" w:rsidP="002165DE">
      <w:pPr>
        <w:pStyle w:val="meginml"/>
        <w:rPr>
          <w:sz w:val="24"/>
          <w:szCs w:val="18"/>
        </w:rPr>
      </w:pPr>
    </w:p>
    <w:p w:rsidR="00443709" w:rsidRDefault="00443709" w:rsidP="00690A0B">
      <w:r w:rsidRPr="002165DE">
        <w:rPr>
          <w:i/>
        </w:rPr>
        <w:t>Samevrópska vegakerfið:</w:t>
      </w:r>
      <w:r w:rsidRPr="002165DE">
        <w:t xml:space="preserve"> </w:t>
      </w:r>
      <w:r>
        <w:t>V</w:t>
      </w:r>
      <w:r w:rsidRPr="002165DE">
        <w:t>egakerfið sem skilgreint er í 2.</w:t>
      </w:r>
      <w:r>
        <w:t xml:space="preserve"> </w:t>
      </w:r>
      <w:r w:rsidRPr="002165DE">
        <w:t>þætti I. viða</w:t>
      </w:r>
      <w:r>
        <w:t xml:space="preserve">uka við ákvörðun nr. 1692/96/EB um viðmiðunarreglur bandalagsins við uppbyggingu samevrópska flutningakerfisins og </w:t>
      </w:r>
      <w:r w:rsidRPr="006B4D14">
        <w:rPr>
          <w:rFonts w:ascii="Times" w:hAnsi="Times"/>
          <w:szCs w:val="24"/>
        </w:rPr>
        <w:t>skýrt með kortum og/eða lýst í II. viðauka við þá ákvörðun</w:t>
      </w:r>
      <w:r>
        <w:t xml:space="preserve">. </w:t>
      </w:r>
    </w:p>
    <w:p w:rsidR="00443709" w:rsidRPr="002165DE" w:rsidRDefault="00443709" w:rsidP="002165DE">
      <w:pPr>
        <w:pStyle w:val="meginml"/>
        <w:rPr>
          <w:sz w:val="24"/>
          <w:szCs w:val="18"/>
        </w:rPr>
      </w:pPr>
    </w:p>
    <w:p w:rsidR="00443709" w:rsidRDefault="00443709" w:rsidP="002165DE">
      <w:pPr>
        <w:pStyle w:val="meginml"/>
        <w:rPr>
          <w:sz w:val="24"/>
        </w:rPr>
      </w:pPr>
      <w:r w:rsidRPr="002165DE">
        <w:rPr>
          <w:i/>
          <w:sz w:val="24"/>
        </w:rPr>
        <w:t>Umferðaröryggismat:</w:t>
      </w:r>
      <w:r w:rsidRPr="002165DE">
        <w:rPr>
          <w:sz w:val="24"/>
        </w:rPr>
        <w:t xml:space="preserve"> </w:t>
      </w:r>
      <w:r>
        <w:rPr>
          <w:sz w:val="24"/>
        </w:rPr>
        <w:t>S</w:t>
      </w:r>
      <w:r w:rsidRPr="002165DE">
        <w:rPr>
          <w:sz w:val="24"/>
        </w:rPr>
        <w:t>kipuleg samanburðargreining á áhrifum nýs vegar</w:t>
      </w:r>
      <w:r>
        <w:rPr>
          <w:sz w:val="24"/>
        </w:rPr>
        <w:t>,</w:t>
      </w:r>
      <w:r w:rsidRPr="002165DE">
        <w:rPr>
          <w:sz w:val="24"/>
        </w:rPr>
        <w:t xml:space="preserve"> eða verulegrar breytingar á núverandi v</w:t>
      </w:r>
      <w:r>
        <w:rPr>
          <w:sz w:val="24"/>
        </w:rPr>
        <w:t>egakerfi, á öryggi vegakerfisins.</w:t>
      </w:r>
    </w:p>
    <w:p w:rsidR="00443709" w:rsidRDefault="00443709" w:rsidP="002165DE">
      <w:pPr>
        <w:pStyle w:val="meginml"/>
        <w:rPr>
          <w:sz w:val="24"/>
        </w:rPr>
      </w:pPr>
    </w:p>
    <w:p w:rsidR="00443709" w:rsidRDefault="00443709" w:rsidP="002165DE">
      <w:pPr>
        <w:pStyle w:val="meginml"/>
        <w:rPr>
          <w:sz w:val="24"/>
        </w:rPr>
      </w:pPr>
      <w:r w:rsidRPr="002165DE">
        <w:rPr>
          <w:i/>
          <w:sz w:val="24"/>
        </w:rPr>
        <w:t>Umferðaröryggisrýni:</w:t>
      </w:r>
      <w:r w:rsidRPr="002165DE">
        <w:rPr>
          <w:sz w:val="24"/>
        </w:rPr>
        <w:t xml:space="preserve"> </w:t>
      </w:r>
      <w:r>
        <w:rPr>
          <w:sz w:val="24"/>
        </w:rPr>
        <w:t>S</w:t>
      </w:r>
      <w:r w:rsidRPr="002165DE">
        <w:rPr>
          <w:sz w:val="24"/>
        </w:rPr>
        <w:t>jálfstæð, ítarleg, kerfisbundin og tæknileg öryggisskoðun í tengslum við hönnunar</w:t>
      </w:r>
      <w:r>
        <w:rPr>
          <w:sz w:val="24"/>
        </w:rPr>
        <w:t>þætti</w:t>
      </w:r>
      <w:r w:rsidRPr="002165DE">
        <w:rPr>
          <w:sz w:val="24"/>
        </w:rPr>
        <w:t xml:space="preserve"> vega</w:t>
      </w:r>
      <w:r>
        <w:rPr>
          <w:sz w:val="24"/>
        </w:rPr>
        <w:t>ma</w:t>
      </w:r>
      <w:r w:rsidRPr="002165DE">
        <w:rPr>
          <w:sz w:val="24"/>
        </w:rPr>
        <w:t xml:space="preserve">nnvirkja sem tekur til allra stiga, frá </w:t>
      </w:r>
      <w:r>
        <w:rPr>
          <w:sz w:val="24"/>
        </w:rPr>
        <w:t>forhönnun þar til þau hafa verið tekin í notkun.</w:t>
      </w:r>
    </w:p>
    <w:p w:rsidR="00443709" w:rsidRDefault="00443709" w:rsidP="002165DE">
      <w:pPr>
        <w:pStyle w:val="meginml"/>
        <w:rPr>
          <w:sz w:val="24"/>
        </w:rPr>
      </w:pPr>
    </w:p>
    <w:p w:rsidR="00443709" w:rsidRDefault="00443709" w:rsidP="008462B8">
      <w:pPr>
        <w:pStyle w:val="meginml"/>
        <w:rPr>
          <w:sz w:val="24"/>
        </w:rPr>
      </w:pPr>
      <w:r w:rsidRPr="002165DE">
        <w:rPr>
          <w:i/>
          <w:sz w:val="24"/>
        </w:rPr>
        <w:t>Röðun veg</w:t>
      </w:r>
      <w:r>
        <w:rPr>
          <w:i/>
          <w:sz w:val="24"/>
        </w:rPr>
        <w:t>ar</w:t>
      </w:r>
      <w:r w:rsidRPr="002165DE">
        <w:rPr>
          <w:i/>
          <w:sz w:val="24"/>
        </w:rPr>
        <w:t xml:space="preserve">kafla þar sem </w:t>
      </w:r>
      <w:r>
        <w:rPr>
          <w:i/>
          <w:sz w:val="24"/>
        </w:rPr>
        <w:t xml:space="preserve">slys eru mörg eða </w:t>
      </w:r>
      <w:r w:rsidRPr="002165DE">
        <w:rPr>
          <w:i/>
          <w:sz w:val="24"/>
        </w:rPr>
        <w:t>slysatíðni er há</w:t>
      </w:r>
      <w:r w:rsidRPr="002165DE">
        <w:rPr>
          <w:sz w:val="24"/>
        </w:rPr>
        <w:t xml:space="preserve">: </w:t>
      </w:r>
      <w:r>
        <w:rPr>
          <w:sz w:val="24"/>
        </w:rPr>
        <w:t>A</w:t>
      </w:r>
      <w:r w:rsidRPr="002165DE">
        <w:rPr>
          <w:sz w:val="24"/>
        </w:rPr>
        <w:t xml:space="preserve">ðferð til að </w:t>
      </w:r>
      <w:r>
        <w:rPr>
          <w:sz w:val="24"/>
        </w:rPr>
        <w:t>finna</w:t>
      </w:r>
      <w:r w:rsidRPr="002165DE">
        <w:rPr>
          <w:sz w:val="24"/>
        </w:rPr>
        <w:t xml:space="preserve">, greina og raða köflum vegakerfisins sem hafa verið í notkun í meira en þrjú ár og þar sem </w:t>
      </w:r>
      <w:r>
        <w:rPr>
          <w:sz w:val="24"/>
        </w:rPr>
        <w:t>orðið hafa mörg</w:t>
      </w:r>
      <w:r w:rsidRPr="002165DE">
        <w:rPr>
          <w:sz w:val="24"/>
        </w:rPr>
        <w:t xml:space="preserve"> </w:t>
      </w:r>
      <w:r w:rsidRPr="004C012A">
        <w:rPr>
          <w:sz w:val="24"/>
        </w:rPr>
        <w:t>banaslys</w:t>
      </w:r>
      <w:r>
        <w:rPr>
          <w:sz w:val="24"/>
        </w:rPr>
        <w:t xml:space="preserve"> og alvarleg slys</w:t>
      </w:r>
      <w:r w:rsidRPr="002165DE">
        <w:rPr>
          <w:sz w:val="24"/>
        </w:rPr>
        <w:t xml:space="preserve"> miðað við </w:t>
      </w:r>
      <w:r w:rsidRPr="004C012A">
        <w:rPr>
          <w:sz w:val="24"/>
        </w:rPr>
        <w:t>umferðarmagn</w:t>
      </w:r>
      <w:r>
        <w:rPr>
          <w:sz w:val="24"/>
        </w:rPr>
        <w:t>. Jafnframt eru greindir möguleikar á að auka öryggi og draga úr slysakostnaði.</w:t>
      </w:r>
    </w:p>
    <w:p w:rsidR="00443709" w:rsidRDefault="00443709" w:rsidP="008462B8">
      <w:pPr>
        <w:pStyle w:val="meginml"/>
        <w:rPr>
          <w:sz w:val="24"/>
        </w:rPr>
      </w:pPr>
    </w:p>
    <w:p w:rsidR="00443709" w:rsidRDefault="00443709" w:rsidP="008462B8">
      <w:pPr>
        <w:pStyle w:val="meginml"/>
        <w:rPr>
          <w:sz w:val="24"/>
        </w:rPr>
      </w:pPr>
      <w:r>
        <w:rPr>
          <w:i/>
          <w:sz w:val="24"/>
        </w:rPr>
        <w:t>Umferðarö</w:t>
      </w:r>
      <w:r w:rsidRPr="007446C2">
        <w:rPr>
          <w:i/>
          <w:sz w:val="24"/>
        </w:rPr>
        <w:t>ryggisúttekt:</w:t>
      </w:r>
      <w:r w:rsidRPr="002165DE">
        <w:rPr>
          <w:sz w:val="24"/>
        </w:rPr>
        <w:t xml:space="preserve"> </w:t>
      </w:r>
      <w:r>
        <w:rPr>
          <w:sz w:val="24"/>
        </w:rPr>
        <w:t>R</w:t>
      </w:r>
      <w:r w:rsidRPr="002165DE">
        <w:rPr>
          <w:sz w:val="24"/>
        </w:rPr>
        <w:t>eglubundin s</w:t>
      </w:r>
      <w:r>
        <w:rPr>
          <w:sz w:val="24"/>
        </w:rPr>
        <w:t>koðun</w:t>
      </w:r>
      <w:r w:rsidRPr="002165DE">
        <w:rPr>
          <w:sz w:val="24"/>
        </w:rPr>
        <w:t xml:space="preserve"> á eiginleikum </w:t>
      </w:r>
      <w:r>
        <w:rPr>
          <w:sz w:val="24"/>
        </w:rPr>
        <w:t xml:space="preserve">vegamannvirkja í notkun í þeim tilgangi að finna </w:t>
      </w:r>
      <w:r w:rsidRPr="002165DE">
        <w:rPr>
          <w:sz w:val="24"/>
        </w:rPr>
        <w:t>ág</w:t>
      </w:r>
      <w:r>
        <w:rPr>
          <w:sz w:val="24"/>
        </w:rPr>
        <w:t>alla</w:t>
      </w:r>
      <w:r w:rsidRPr="002165DE">
        <w:rPr>
          <w:sz w:val="24"/>
        </w:rPr>
        <w:t xml:space="preserve"> sem krefjast </w:t>
      </w:r>
      <w:r>
        <w:rPr>
          <w:sz w:val="24"/>
        </w:rPr>
        <w:t>lagfæringa.</w:t>
      </w:r>
    </w:p>
    <w:p w:rsidR="00443709" w:rsidRDefault="00443709" w:rsidP="00D12145"/>
    <w:p w:rsidR="00443709" w:rsidRDefault="00443709" w:rsidP="008462B8">
      <w:pPr>
        <w:jc w:val="center"/>
      </w:pPr>
      <w:r>
        <w:t>3. gr.</w:t>
      </w:r>
    </w:p>
    <w:p w:rsidR="00443709" w:rsidRPr="008462B8" w:rsidRDefault="00443709" w:rsidP="008462B8">
      <w:pPr>
        <w:pStyle w:val="meginml"/>
        <w:spacing w:after="120"/>
        <w:jc w:val="center"/>
        <w:rPr>
          <w:b/>
          <w:sz w:val="24"/>
          <w:szCs w:val="18"/>
        </w:rPr>
      </w:pPr>
      <w:r w:rsidRPr="008462B8">
        <w:rPr>
          <w:b/>
          <w:sz w:val="24"/>
        </w:rPr>
        <w:t xml:space="preserve">Umferðaröryggismat á verkefnum á sviði </w:t>
      </w:r>
      <w:r>
        <w:rPr>
          <w:b/>
          <w:sz w:val="24"/>
        </w:rPr>
        <w:t>vegamann</w:t>
      </w:r>
      <w:r w:rsidRPr="008462B8">
        <w:rPr>
          <w:b/>
          <w:sz w:val="24"/>
        </w:rPr>
        <w:t>virkja</w:t>
      </w:r>
    </w:p>
    <w:p w:rsidR="00443709" w:rsidRDefault="00443709" w:rsidP="009A562F">
      <w:r>
        <w:t>Vegagerðin skal láta fara fram umferðaröryggismat við undirbúning framkvæmda á vegum sem eru hluti af samevrópska vegakerfinu.</w:t>
      </w:r>
    </w:p>
    <w:p w:rsidR="00443709" w:rsidRPr="008462B8" w:rsidRDefault="00443709" w:rsidP="008462B8">
      <w:pPr>
        <w:pStyle w:val="meginml"/>
        <w:spacing w:after="120"/>
        <w:rPr>
          <w:sz w:val="24"/>
          <w:szCs w:val="18"/>
        </w:rPr>
      </w:pPr>
    </w:p>
    <w:p w:rsidR="00443709" w:rsidRPr="008462B8" w:rsidRDefault="00443709" w:rsidP="008462B8">
      <w:pPr>
        <w:pStyle w:val="meginml"/>
        <w:spacing w:after="120"/>
        <w:rPr>
          <w:sz w:val="24"/>
          <w:szCs w:val="18"/>
        </w:rPr>
      </w:pPr>
      <w:r w:rsidRPr="008462B8">
        <w:rPr>
          <w:sz w:val="24"/>
        </w:rPr>
        <w:t xml:space="preserve">Umferðaröryggismatið skal fara fram á byrjunarstigi skipulags áður en verkefnið er samþykkt. </w:t>
      </w:r>
    </w:p>
    <w:p w:rsidR="00443709" w:rsidRDefault="00443709" w:rsidP="008462B8">
      <w:pPr>
        <w:pStyle w:val="meginml"/>
        <w:spacing w:after="120"/>
        <w:rPr>
          <w:sz w:val="24"/>
        </w:rPr>
      </w:pPr>
      <w:r w:rsidRPr="008462B8">
        <w:rPr>
          <w:sz w:val="24"/>
        </w:rPr>
        <w:t xml:space="preserve">Í umferðaröryggismati skal tilgreina þau umferðaröryggissjónarmið sem urðu til þess að </w:t>
      </w:r>
      <w:r>
        <w:rPr>
          <w:sz w:val="24"/>
        </w:rPr>
        <w:t>viðkomandi lausn</w:t>
      </w:r>
      <w:r w:rsidRPr="008462B8">
        <w:rPr>
          <w:sz w:val="24"/>
        </w:rPr>
        <w:t xml:space="preserve"> var valin. Þar sk</w:t>
      </w:r>
      <w:r>
        <w:rPr>
          <w:sz w:val="24"/>
        </w:rPr>
        <w:t>al</w:t>
      </w:r>
      <w:r w:rsidRPr="008462B8">
        <w:rPr>
          <w:sz w:val="24"/>
        </w:rPr>
        <w:t xml:space="preserve"> einnig </w:t>
      </w:r>
      <w:r>
        <w:rPr>
          <w:sz w:val="24"/>
        </w:rPr>
        <w:t>gerð grein</w:t>
      </w:r>
      <w:r w:rsidRPr="008462B8">
        <w:rPr>
          <w:sz w:val="24"/>
        </w:rPr>
        <w:t xml:space="preserve"> fyrir </w:t>
      </w:r>
      <w:r>
        <w:rPr>
          <w:sz w:val="24"/>
        </w:rPr>
        <w:t xml:space="preserve">forsendum </w:t>
      </w:r>
      <w:r w:rsidRPr="008462B8">
        <w:rPr>
          <w:sz w:val="24"/>
        </w:rPr>
        <w:t>kostnaðar- og ábatagreining</w:t>
      </w:r>
      <w:r>
        <w:rPr>
          <w:sz w:val="24"/>
        </w:rPr>
        <w:t>ar</w:t>
      </w:r>
      <w:r w:rsidRPr="008462B8">
        <w:rPr>
          <w:sz w:val="24"/>
        </w:rPr>
        <w:t xml:space="preserve"> mismunandi val</w:t>
      </w:r>
      <w:r>
        <w:rPr>
          <w:sz w:val="24"/>
        </w:rPr>
        <w:t>kosta</w:t>
      </w:r>
      <w:r w:rsidRPr="008462B8">
        <w:rPr>
          <w:sz w:val="24"/>
        </w:rPr>
        <w:t xml:space="preserve"> sem metnir voru.</w:t>
      </w:r>
    </w:p>
    <w:p w:rsidR="00443709" w:rsidRPr="008462B8" w:rsidRDefault="00443709" w:rsidP="007446C2">
      <w:pPr>
        <w:pStyle w:val="meginml"/>
        <w:spacing w:after="120"/>
        <w:jc w:val="center"/>
        <w:rPr>
          <w:sz w:val="24"/>
          <w:szCs w:val="18"/>
        </w:rPr>
      </w:pPr>
      <w:r>
        <w:rPr>
          <w:sz w:val="24"/>
        </w:rPr>
        <w:t>4. gr.</w:t>
      </w:r>
    </w:p>
    <w:p w:rsidR="00443709" w:rsidRPr="007446C2" w:rsidRDefault="00443709" w:rsidP="00E1704D">
      <w:pPr>
        <w:pStyle w:val="meginml"/>
        <w:spacing w:after="120"/>
        <w:jc w:val="center"/>
        <w:rPr>
          <w:b/>
          <w:sz w:val="24"/>
          <w:szCs w:val="18"/>
        </w:rPr>
      </w:pPr>
      <w:r w:rsidRPr="007446C2">
        <w:rPr>
          <w:b/>
          <w:sz w:val="24"/>
        </w:rPr>
        <w:t xml:space="preserve">Umferðaröryggisrýni á verkefnum á sviði </w:t>
      </w:r>
      <w:r>
        <w:rPr>
          <w:b/>
          <w:sz w:val="24"/>
        </w:rPr>
        <w:t>vegamann</w:t>
      </w:r>
      <w:r w:rsidRPr="007446C2">
        <w:rPr>
          <w:b/>
          <w:sz w:val="24"/>
        </w:rPr>
        <w:t>virkja</w:t>
      </w:r>
    </w:p>
    <w:p w:rsidR="00443709" w:rsidRDefault="00443709" w:rsidP="005455C7">
      <w:r>
        <w:lastRenderedPageBreak/>
        <w:t>Vegagerðin  skal láta fara fram umferðaröryggisrýni við undirbúning framkvæmda á vegum sem eru hluti af samevrópska vegakerfinu.</w:t>
      </w:r>
    </w:p>
    <w:p w:rsidR="00443709" w:rsidRDefault="00443709" w:rsidP="006B4D14"/>
    <w:p w:rsidR="00443709" w:rsidRPr="007446C2" w:rsidRDefault="00443709" w:rsidP="00E1704D">
      <w:pPr>
        <w:pStyle w:val="meginml"/>
        <w:spacing w:after="120"/>
        <w:rPr>
          <w:sz w:val="24"/>
          <w:szCs w:val="18"/>
        </w:rPr>
      </w:pPr>
      <w:r w:rsidRPr="007446C2">
        <w:rPr>
          <w:sz w:val="24"/>
        </w:rPr>
        <w:t xml:space="preserve">Umferðaröryggisrýni skal vera óaðskiljanlegur hluti af hönnunarferli verkefna á sviði </w:t>
      </w:r>
      <w:r>
        <w:rPr>
          <w:sz w:val="24"/>
        </w:rPr>
        <w:t>vegama</w:t>
      </w:r>
      <w:r w:rsidRPr="007446C2">
        <w:rPr>
          <w:sz w:val="24"/>
        </w:rPr>
        <w:t>nnvirkja á mismunandi stigum, þ.e. forhönnunarstigi, verkhönnunarstigi, áður en þau eru tekin í notkun og</w:t>
      </w:r>
      <w:r>
        <w:rPr>
          <w:sz w:val="24"/>
        </w:rPr>
        <w:t xml:space="preserve"> innan árs frá því  að þau voru tekin í notkun</w:t>
      </w:r>
      <w:r w:rsidRPr="007446C2">
        <w:rPr>
          <w:sz w:val="24"/>
        </w:rPr>
        <w:t>.</w:t>
      </w:r>
    </w:p>
    <w:p w:rsidR="00443709" w:rsidRPr="0000440A" w:rsidRDefault="00443709" w:rsidP="00CA3C06">
      <w:pPr>
        <w:pStyle w:val="CommentText"/>
        <w:rPr>
          <w:sz w:val="24"/>
        </w:rPr>
      </w:pPr>
      <w:r>
        <w:rPr>
          <w:sz w:val="24"/>
        </w:rPr>
        <w:t>R</w:t>
      </w:r>
      <w:r w:rsidRPr="007446C2">
        <w:rPr>
          <w:sz w:val="24"/>
        </w:rPr>
        <w:t xml:space="preserve">ýnir </w:t>
      </w:r>
      <w:r>
        <w:rPr>
          <w:sz w:val="24"/>
        </w:rPr>
        <w:t>skal gera grein fyrir þeim</w:t>
      </w:r>
      <w:r w:rsidRPr="007446C2">
        <w:rPr>
          <w:sz w:val="24"/>
        </w:rPr>
        <w:t xml:space="preserve"> hönnunarþ</w:t>
      </w:r>
      <w:r>
        <w:rPr>
          <w:sz w:val="24"/>
        </w:rPr>
        <w:t>áttum</w:t>
      </w:r>
      <w:r w:rsidRPr="007446C2">
        <w:rPr>
          <w:sz w:val="24"/>
        </w:rPr>
        <w:t xml:space="preserve">, sem eru mikilvægir að því er varðar öryggi, í rýniskýrslu fyrir hvert stig verkefna á sviði </w:t>
      </w:r>
      <w:r>
        <w:rPr>
          <w:sz w:val="24"/>
        </w:rPr>
        <w:t>vegamann</w:t>
      </w:r>
      <w:r w:rsidRPr="007446C2">
        <w:rPr>
          <w:sz w:val="24"/>
        </w:rPr>
        <w:t xml:space="preserve">virkja. </w:t>
      </w:r>
      <w:r w:rsidRPr="009D3916">
        <w:rPr>
          <w:sz w:val="24"/>
        </w:rPr>
        <w:t>Ef ekki er farið að tillögum rýna í einstaka tilvikum skal tilgreina ástæður fyrir því í viðauka við skýrsluna í lok hvers hönnunarstigs.</w:t>
      </w:r>
    </w:p>
    <w:p w:rsidR="00443709" w:rsidRDefault="00443709" w:rsidP="00F26E03">
      <w:pPr>
        <w:pStyle w:val="CommentText"/>
      </w:pPr>
    </w:p>
    <w:p w:rsidR="00443709" w:rsidRDefault="00443709" w:rsidP="00E53744">
      <w:pPr>
        <w:pStyle w:val="meginml"/>
        <w:jc w:val="center"/>
        <w:rPr>
          <w:sz w:val="24"/>
        </w:rPr>
      </w:pPr>
      <w:r>
        <w:rPr>
          <w:sz w:val="24"/>
        </w:rPr>
        <w:t>5. gr.</w:t>
      </w:r>
    </w:p>
    <w:p w:rsidR="00443709" w:rsidRDefault="00443709" w:rsidP="00E53744">
      <w:pPr>
        <w:pStyle w:val="meginml"/>
        <w:spacing w:after="120"/>
        <w:jc w:val="center"/>
        <w:rPr>
          <w:b/>
          <w:sz w:val="24"/>
        </w:rPr>
      </w:pPr>
      <w:r>
        <w:rPr>
          <w:b/>
          <w:sz w:val="24"/>
        </w:rPr>
        <w:t>Röðun og lagfæring vegarkafla þar sem slys eru mörg eða slysatíðni er há</w:t>
      </w:r>
    </w:p>
    <w:p w:rsidR="00443709" w:rsidRPr="00E53744" w:rsidRDefault="00443709" w:rsidP="00E53744">
      <w:pPr>
        <w:pStyle w:val="meginml"/>
        <w:spacing w:after="120"/>
        <w:rPr>
          <w:sz w:val="24"/>
          <w:szCs w:val="18"/>
        </w:rPr>
      </w:pPr>
      <w:r w:rsidRPr="00F123E5">
        <w:rPr>
          <w:sz w:val="24"/>
        </w:rPr>
        <w:t xml:space="preserve">Vegagerðin </w:t>
      </w:r>
      <w:r>
        <w:rPr>
          <w:sz w:val="24"/>
        </w:rPr>
        <w:t xml:space="preserve">skal </w:t>
      </w:r>
      <w:r w:rsidRPr="00F123E5">
        <w:rPr>
          <w:sz w:val="24"/>
        </w:rPr>
        <w:t xml:space="preserve">raða köflum </w:t>
      </w:r>
      <w:r>
        <w:rPr>
          <w:sz w:val="24"/>
        </w:rPr>
        <w:t xml:space="preserve">vega sem eru hluti af samevrópska </w:t>
      </w:r>
      <w:r w:rsidRPr="00F123E5">
        <w:rPr>
          <w:sz w:val="24"/>
        </w:rPr>
        <w:t>vegakerfin</w:t>
      </w:r>
      <w:r>
        <w:rPr>
          <w:sz w:val="24"/>
        </w:rPr>
        <w:t>u</w:t>
      </w:r>
      <w:r w:rsidRPr="00F123E5">
        <w:rPr>
          <w:sz w:val="24"/>
        </w:rPr>
        <w:t xml:space="preserve"> eftir </w:t>
      </w:r>
      <w:r>
        <w:rPr>
          <w:sz w:val="24"/>
        </w:rPr>
        <w:t xml:space="preserve">fjölda slysa og </w:t>
      </w:r>
      <w:r w:rsidRPr="00F123E5">
        <w:rPr>
          <w:sz w:val="24"/>
        </w:rPr>
        <w:t>slysatíðni</w:t>
      </w:r>
      <w:r>
        <w:rPr>
          <w:sz w:val="24"/>
        </w:rPr>
        <w:t>.</w:t>
      </w:r>
    </w:p>
    <w:p w:rsidR="00443709" w:rsidRPr="00E53744" w:rsidRDefault="00443709" w:rsidP="00E53744">
      <w:pPr>
        <w:pStyle w:val="meginml"/>
        <w:spacing w:after="120"/>
        <w:rPr>
          <w:sz w:val="24"/>
          <w:szCs w:val="18"/>
        </w:rPr>
      </w:pPr>
      <w:r>
        <w:rPr>
          <w:sz w:val="24"/>
        </w:rPr>
        <w:t>Vegagerðin skal</w:t>
      </w:r>
      <w:r w:rsidRPr="00E53744">
        <w:rPr>
          <w:sz w:val="24"/>
        </w:rPr>
        <w:t xml:space="preserve"> sjá til þess að veg</w:t>
      </w:r>
      <w:r>
        <w:rPr>
          <w:sz w:val="24"/>
        </w:rPr>
        <w:t>ar</w:t>
      </w:r>
      <w:r w:rsidRPr="00E53744">
        <w:rPr>
          <w:sz w:val="24"/>
        </w:rPr>
        <w:t xml:space="preserve">kaflar, </w:t>
      </w:r>
      <w:r>
        <w:rPr>
          <w:sz w:val="24"/>
        </w:rPr>
        <w:t>þar sem flest slys verða eða hæst slysatíðni</w:t>
      </w:r>
      <w:r w:rsidRPr="00E53744">
        <w:rPr>
          <w:sz w:val="24"/>
        </w:rPr>
        <w:t xml:space="preserve">, séu metnir af sérfræðingum </w:t>
      </w:r>
      <w:r>
        <w:rPr>
          <w:sz w:val="24"/>
        </w:rPr>
        <w:t>að lokinni vettvangsskoðun</w:t>
      </w:r>
      <w:r w:rsidRPr="00E53744">
        <w:rPr>
          <w:sz w:val="24"/>
        </w:rPr>
        <w:t xml:space="preserve"> og </w:t>
      </w:r>
      <w:r>
        <w:rPr>
          <w:sz w:val="24"/>
        </w:rPr>
        <w:t>að þeir þættir verði greindir</w:t>
      </w:r>
      <w:r w:rsidRPr="00E53744">
        <w:rPr>
          <w:sz w:val="24"/>
        </w:rPr>
        <w:t xml:space="preserve"> sem </w:t>
      </w:r>
      <w:r>
        <w:rPr>
          <w:sz w:val="24"/>
        </w:rPr>
        <w:t>valda slysum.</w:t>
      </w:r>
      <w:r w:rsidRPr="00E53744">
        <w:rPr>
          <w:sz w:val="24"/>
        </w:rPr>
        <w:t xml:space="preserve"> </w:t>
      </w:r>
    </w:p>
    <w:p w:rsidR="00443709" w:rsidRPr="00EC7534" w:rsidRDefault="00443709" w:rsidP="00E53744">
      <w:pPr>
        <w:pStyle w:val="meginml"/>
        <w:spacing w:after="120"/>
        <w:rPr>
          <w:sz w:val="24"/>
        </w:rPr>
      </w:pPr>
      <w:r>
        <w:rPr>
          <w:sz w:val="24"/>
        </w:rPr>
        <w:t>Vegagerðin skal</w:t>
      </w:r>
      <w:r w:rsidRPr="00E53744">
        <w:rPr>
          <w:sz w:val="24"/>
        </w:rPr>
        <w:t xml:space="preserve"> sjá til þess að endurbætur beinist að veg</w:t>
      </w:r>
      <w:r>
        <w:rPr>
          <w:sz w:val="24"/>
        </w:rPr>
        <w:t>ar</w:t>
      </w:r>
      <w:r w:rsidRPr="00E53744">
        <w:rPr>
          <w:sz w:val="24"/>
        </w:rPr>
        <w:t xml:space="preserve">köflunum sem um getur í 2. mgr. </w:t>
      </w:r>
    </w:p>
    <w:p w:rsidR="00443709" w:rsidRDefault="00443709" w:rsidP="007446C2">
      <w:pPr>
        <w:pStyle w:val="meginml"/>
        <w:rPr>
          <w:sz w:val="24"/>
        </w:rPr>
      </w:pPr>
    </w:p>
    <w:p w:rsidR="00443709" w:rsidRDefault="00443709" w:rsidP="00BC1133">
      <w:pPr>
        <w:pStyle w:val="meginml"/>
        <w:jc w:val="center"/>
        <w:rPr>
          <w:sz w:val="24"/>
        </w:rPr>
      </w:pPr>
      <w:r>
        <w:rPr>
          <w:sz w:val="24"/>
        </w:rPr>
        <w:t>6. gr.</w:t>
      </w:r>
    </w:p>
    <w:p w:rsidR="00443709" w:rsidRDefault="00443709" w:rsidP="00F26E03">
      <w:pPr>
        <w:pStyle w:val="meginml"/>
        <w:spacing w:after="120"/>
        <w:jc w:val="center"/>
      </w:pPr>
      <w:r>
        <w:rPr>
          <w:b/>
          <w:sz w:val="24"/>
        </w:rPr>
        <w:t>Umferðarö</w:t>
      </w:r>
      <w:r w:rsidRPr="00BC1133">
        <w:rPr>
          <w:b/>
          <w:sz w:val="24"/>
        </w:rPr>
        <w:t>ryggisúttektir</w:t>
      </w:r>
    </w:p>
    <w:p w:rsidR="00443709" w:rsidRPr="00BC1133" w:rsidRDefault="00394F3D" w:rsidP="00BC1133">
      <w:pPr>
        <w:pStyle w:val="meginml"/>
        <w:spacing w:after="120"/>
        <w:rPr>
          <w:sz w:val="24"/>
          <w:szCs w:val="18"/>
        </w:rPr>
      </w:pPr>
      <w:r>
        <w:rPr>
          <w:sz w:val="24"/>
        </w:rPr>
        <w:t>Framkvæmdar skulu</w:t>
      </w:r>
      <w:r w:rsidR="00443709">
        <w:rPr>
          <w:sz w:val="24"/>
        </w:rPr>
        <w:t xml:space="preserve"> umferðar</w:t>
      </w:r>
      <w:r w:rsidR="00443709" w:rsidRPr="00BC1133">
        <w:rPr>
          <w:sz w:val="24"/>
        </w:rPr>
        <w:t>öryggisúttekt</w:t>
      </w:r>
      <w:r w:rsidR="00443709">
        <w:rPr>
          <w:sz w:val="24"/>
        </w:rPr>
        <w:t>ir</w:t>
      </w:r>
      <w:r w:rsidR="00443709" w:rsidRPr="00BC1133">
        <w:rPr>
          <w:sz w:val="24"/>
        </w:rPr>
        <w:t xml:space="preserve"> </w:t>
      </w:r>
      <w:r w:rsidR="00443709" w:rsidRPr="00566C3A">
        <w:rPr>
          <w:sz w:val="24"/>
        </w:rPr>
        <w:t xml:space="preserve">á </w:t>
      </w:r>
      <w:r w:rsidR="00443709">
        <w:rPr>
          <w:sz w:val="24"/>
        </w:rPr>
        <w:t xml:space="preserve">samevrópska vegakerfinu í þeim tilgangi </w:t>
      </w:r>
      <w:r w:rsidR="00443709" w:rsidRPr="00BC1133">
        <w:rPr>
          <w:sz w:val="24"/>
        </w:rPr>
        <w:t>að greina þætti sem tengjast umferðaröryggi og koma í veg fyrir slys.</w:t>
      </w:r>
    </w:p>
    <w:p w:rsidR="00443709" w:rsidRDefault="00443709" w:rsidP="005B13A2">
      <w:pPr>
        <w:pStyle w:val="meginml"/>
        <w:rPr>
          <w:sz w:val="24"/>
          <w:szCs w:val="18"/>
        </w:rPr>
      </w:pPr>
      <w:r>
        <w:rPr>
          <w:sz w:val="24"/>
        </w:rPr>
        <w:t>Umferðarö</w:t>
      </w:r>
      <w:r w:rsidRPr="00BC1133">
        <w:rPr>
          <w:sz w:val="24"/>
        </w:rPr>
        <w:t xml:space="preserve">ryggisúttektir skulu fela í sér reglubundnar úttektir á vegakerfinu og </w:t>
      </w:r>
      <w:r>
        <w:rPr>
          <w:sz w:val="24"/>
        </w:rPr>
        <w:t xml:space="preserve">einnig </w:t>
      </w:r>
      <w:r w:rsidRPr="00BC1133">
        <w:rPr>
          <w:sz w:val="24"/>
        </w:rPr>
        <w:t xml:space="preserve">kannanir á hugsanlegum áhrifum </w:t>
      </w:r>
      <w:r>
        <w:rPr>
          <w:sz w:val="24"/>
        </w:rPr>
        <w:t>vegaframkvæmda</w:t>
      </w:r>
      <w:r w:rsidRPr="00BC1133">
        <w:rPr>
          <w:sz w:val="24"/>
        </w:rPr>
        <w:t xml:space="preserve"> á öryggi umferðar. Slíkar úttektir skulu vera næg</w:t>
      </w:r>
      <w:r>
        <w:rPr>
          <w:sz w:val="24"/>
        </w:rPr>
        <w:t>jan</w:t>
      </w:r>
      <w:r w:rsidRPr="00BC1133">
        <w:rPr>
          <w:sz w:val="24"/>
        </w:rPr>
        <w:t>lega tíðar til að tryggja fullnægjandi öryggi fyrir vega</w:t>
      </w:r>
      <w:r>
        <w:rPr>
          <w:sz w:val="24"/>
        </w:rPr>
        <w:t>ma</w:t>
      </w:r>
      <w:r w:rsidRPr="00BC1133">
        <w:rPr>
          <w:sz w:val="24"/>
        </w:rPr>
        <w:t>nnvirkið sem um ræðir.</w:t>
      </w:r>
    </w:p>
    <w:p w:rsidR="00443709" w:rsidRDefault="00443709" w:rsidP="005B13A2">
      <w:pPr>
        <w:pStyle w:val="meginml"/>
        <w:rPr>
          <w:sz w:val="24"/>
          <w:szCs w:val="18"/>
        </w:rPr>
      </w:pPr>
    </w:p>
    <w:p w:rsidR="00443709" w:rsidRDefault="00443709" w:rsidP="005B13A2">
      <w:pPr>
        <w:pStyle w:val="meginml"/>
        <w:jc w:val="center"/>
        <w:rPr>
          <w:sz w:val="24"/>
          <w:szCs w:val="18"/>
        </w:rPr>
      </w:pPr>
      <w:r>
        <w:rPr>
          <w:sz w:val="24"/>
          <w:szCs w:val="18"/>
        </w:rPr>
        <w:t>7. gr.</w:t>
      </w:r>
    </w:p>
    <w:p w:rsidR="00443709" w:rsidRPr="005B13A2" w:rsidRDefault="00443709" w:rsidP="005B13A2">
      <w:pPr>
        <w:pStyle w:val="meginml"/>
        <w:spacing w:after="120"/>
        <w:jc w:val="center"/>
        <w:rPr>
          <w:b/>
          <w:sz w:val="24"/>
          <w:szCs w:val="18"/>
        </w:rPr>
      </w:pPr>
      <w:r>
        <w:rPr>
          <w:b/>
          <w:sz w:val="24"/>
        </w:rPr>
        <w:t>Umferðaröryggisrýnir.</w:t>
      </w:r>
    </w:p>
    <w:p w:rsidR="00443709" w:rsidRDefault="00443709" w:rsidP="006B4D14">
      <w:pPr>
        <w:pStyle w:val="meginml"/>
        <w:spacing w:after="120"/>
        <w:rPr>
          <w:sz w:val="24"/>
          <w:szCs w:val="18"/>
        </w:rPr>
      </w:pPr>
      <w:r>
        <w:rPr>
          <w:sz w:val="24"/>
        </w:rPr>
        <w:t>Til að öðlast starfsleyfi sem u</w:t>
      </w:r>
      <w:r w:rsidRPr="00D11245">
        <w:rPr>
          <w:sz w:val="24"/>
        </w:rPr>
        <w:t>mferðaröryggisrýn</w:t>
      </w:r>
      <w:r>
        <w:rPr>
          <w:sz w:val="24"/>
        </w:rPr>
        <w:t>ir</w:t>
      </w:r>
      <w:r w:rsidRPr="00D11245">
        <w:rPr>
          <w:sz w:val="24"/>
        </w:rPr>
        <w:t xml:space="preserve"> </w:t>
      </w:r>
      <w:r>
        <w:rPr>
          <w:sz w:val="24"/>
        </w:rPr>
        <w:t xml:space="preserve">skal viðkomandi gangast undir </w:t>
      </w:r>
      <w:r w:rsidRPr="005B13A2">
        <w:rPr>
          <w:sz w:val="24"/>
        </w:rPr>
        <w:t>þjálfun</w:t>
      </w:r>
      <w:r>
        <w:rPr>
          <w:sz w:val="24"/>
        </w:rPr>
        <w:t xml:space="preserve"> í samræmi við námskrá sem Vegagerðin hefur látið semja og lýkur námi með hæfnisprófi. Hann skal viðhalda þekkingu sinni með því að taka </w:t>
      </w:r>
      <w:r w:rsidRPr="005B13A2">
        <w:rPr>
          <w:sz w:val="24"/>
        </w:rPr>
        <w:t xml:space="preserve">reglulega þátt í </w:t>
      </w:r>
      <w:r>
        <w:rPr>
          <w:sz w:val="24"/>
        </w:rPr>
        <w:t>endurmenntunarnámskeiðum.</w:t>
      </w:r>
    </w:p>
    <w:p w:rsidR="00443709" w:rsidRDefault="00443709" w:rsidP="006B4D14">
      <w:pPr>
        <w:pStyle w:val="meginml"/>
        <w:jc w:val="left"/>
        <w:rPr>
          <w:sz w:val="24"/>
        </w:rPr>
      </w:pPr>
      <w:r>
        <w:rPr>
          <w:sz w:val="24"/>
        </w:rPr>
        <w:t>Á</w:t>
      </w:r>
      <w:r w:rsidRPr="00426676">
        <w:rPr>
          <w:sz w:val="24"/>
        </w:rPr>
        <w:t xml:space="preserve"> þeim tíma sem rýni fer fram </w:t>
      </w:r>
      <w:r>
        <w:rPr>
          <w:sz w:val="24"/>
        </w:rPr>
        <w:t>má</w:t>
      </w:r>
      <w:r w:rsidRPr="00426676">
        <w:rPr>
          <w:sz w:val="24"/>
        </w:rPr>
        <w:t xml:space="preserve"> rýni</w:t>
      </w:r>
      <w:r>
        <w:rPr>
          <w:sz w:val="24"/>
        </w:rPr>
        <w:t>r</w:t>
      </w:r>
      <w:r w:rsidRPr="00426676">
        <w:rPr>
          <w:sz w:val="24"/>
        </w:rPr>
        <w:t xml:space="preserve"> ekki þátt í hugmyndavinnu eða rekstri viðkomandi</w:t>
      </w:r>
      <w:r>
        <w:rPr>
          <w:sz w:val="24"/>
        </w:rPr>
        <w:t xml:space="preserve">  vegamannvirk</w:t>
      </w:r>
      <w:r w:rsidRPr="00426676">
        <w:rPr>
          <w:sz w:val="24"/>
        </w:rPr>
        <w:t>is.</w:t>
      </w:r>
    </w:p>
    <w:p w:rsidR="00443709" w:rsidRPr="00426676" w:rsidRDefault="00443709" w:rsidP="006B4D14">
      <w:pPr>
        <w:pStyle w:val="meginml"/>
        <w:jc w:val="left"/>
        <w:rPr>
          <w:sz w:val="24"/>
          <w:szCs w:val="18"/>
        </w:rPr>
      </w:pPr>
    </w:p>
    <w:p w:rsidR="00443709" w:rsidRDefault="00443709" w:rsidP="005B13A2">
      <w:pPr>
        <w:pStyle w:val="meginml"/>
        <w:rPr>
          <w:sz w:val="24"/>
        </w:rPr>
      </w:pPr>
      <w:r>
        <w:rPr>
          <w:sz w:val="24"/>
        </w:rPr>
        <w:t xml:space="preserve">Frá og með 1. október 2013 </w:t>
      </w:r>
      <w:r w:rsidRPr="00426676">
        <w:rPr>
          <w:sz w:val="24"/>
        </w:rPr>
        <w:t>skal umferðaröryggisrýni einungis framkvæmd af rýn</w:t>
      </w:r>
      <w:r>
        <w:rPr>
          <w:sz w:val="24"/>
        </w:rPr>
        <w:t>um sem staðist hafa hæfnispróf sbr. 1. mgr.</w:t>
      </w:r>
    </w:p>
    <w:p w:rsidR="00443709" w:rsidRDefault="00443709" w:rsidP="00F26E03">
      <w:pPr>
        <w:pStyle w:val="meginml"/>
        <w:rPr>
          <w:sz w:val="24"/>
        </w:rPr>
      </w:pPr>
      <w:bookmarkStart w:id="0" w:name="_GoBack"/>
      <w:bookmarkEnd w:id="0"/>
    </w:p>
    <w:p w:rsidR="00443709" w:rsidRDefault="00443709" w:rsidP="006B4D14">
      <w:pPr>
        <w:pStyle w:val="meginml"/>
        <w:jc w:val="center"/>
        <w:rPr>
          <w:sz w:val="24"/>
          <w:szCs w:val="18"/>
        </w:rPr>
      </w:pPr>
      <w:r>
        <w:rPr>
          <w:sz w:val="24"/>
          <w:szCs w:val="18"/>
        </w:rPr>
        <w:t>8.gr.</w:t>
      </w:r>
    </w:p>
    <w:p w:rsidR="00443709" w:rsidRDefault="00443709" w:rsidP="006B4D14">
      <w:pPr>
        <w:pStyle w:val="meginml"/>
        <w:jc w:val="center"/>
        <w:rPr>
          <w:b/>
          <w:sz w:val="24"/>
        </w:rPr>
      </w:pPr>
      <w:r>
        <w:rPr>
          <w:b/>
          <w:sz w:val="24"/>
        </w:rPr>
        <w:t>Verklagsreglur</w:t>
      </w:r>
    </w:p>
    <w:p w:rsidR="00443709" w:rsidRPr="00AF0E26" w:rsidRDefault="00443709" w:rsidP="006B4D14">
      <w:pPr>
        <w:pStyle w:val="meginml"/>
        <w:jc w:val="left"/>
        <w:rPr>
          <w:sz w:val="24"/>
          <w:szCs w:val="18"/>
        </w:rPr>
      </w:pPr>
      <w:r w:rsidRPr="00090BAA">
        <w:rPr>
          <w:sz w:val="24"/>
        </w:rPr>
        <w:t xml:space="preserve">Vegagerðin skal semja </w:t>
      </w:r>
      <w:r>
        <w:rPr>
          <w:sz w:val="24"/>
        </w:rPr>
        <w:t>verklagsreglur til nánari útfærslu á reglugerð þessari</w:t>
      </w:r>
      <w:r w:rsidRPr="00090BAA">
        <w:rPr>
          <w:sz w:val="24"/>
        </w:rPr>
        <w:t xml:space="preserve">, </w:t>
      </w:r>
      <w:r>
        <w:rPr>
          <w:sz w:val="24"/>
          <w:szCs w:val="18"/>
        </w:rPr>
        <w:t>sem ná skulu yfir eftirfarandi þætti</w:t>
      </w:r>
      <w:r>
        <w:rPr>
          <w:sz w:val="24"/>
        </w:rPr>
        <w:t xml:space="preserve"> :</w:t>
      </w:r>
    </w:p>
    <w:p w:rsidR="00443709" w:rsidRDefault="00443709" w:rsidP="003B597F">
      <w:pPr>
        <w:pStyle w:val="meginml"/>
        <w:numPr>
          <w:ilvl w:val="0"/>
          <w:numId w:val="4"/>
          <w:numberingChange w:id="1" w:author=" " w:date="2011-07-27T19:04:00Z" w:original="%1:1:1:."/>
        </w:numPr>
        <w:rPr>
          <w:sz w:val="24"/>
          <w:szCs w:val="18"/>
        </w:rPr>
      </w:pPr>
      <w:r>
        <w:rPr>
          <w:sz w:val="24"/>
          <w:szCs w:val="18"/>
        </w:rPr>
        <w:t>Umferðaröryggismat á verkefnum á sviði vegamannvirkja</w:t>
      </w:r>
    </w:p>
    <w:p w:rsidR="00443709" w:rsidRDefault="00443709" w:rsidP="003B597F">
      <w:pPr>
        <w:pStyle w:val="meginml"/>
        <w:numPr>
          <w:ilvl w:val="0"/>
          <w:numId w:val="4"/>
          <w:numberingChange w:id="2" w:author=" " w:date="2011-07-27T19:04:00Z" w:original="%1:2:1:."/>
        </w:numPr>
        <w:rPr>
          <w:sz w:val="24"/>
          <w:szCs w:val="18"/>
        </w:rPr>
      </w:pPr>
      <w:r>
        <w:rPr>
          <w:sz w:val="24"/>
          <w:szCs w:val="18"/>
        </w:rPr>
        <w:t>Umferðaröryggisrýni á verkefnum á sviði vegamannvirkja</w:t>
      </w:r>
    </w:p>
    <w:p w:rsidR="00443709" w:rsidRDefault="00443709" w:rsidP="003B597F">
      <w:pPr>
        <w:pStyle w:val="meginml"/>
        <w:numPr>
          <w:ilvl w:val="0"/>
          <w:numId w:val="4"/>
          <w:numberingChange w:id="3" w:author=" " w:date="2011-07-27T19:04:00Z" w:original="%1:3:1:."/>
        </w:numPr>
        <w:rPr>
          <w:sz w:val="24"/>
          <w:szCs w:val="18"/>
        </w:rPr>
      </w:pPr>
      <w:r>
        <w:rPr>
          <w:sz w:val="24"/>
          <w:szCs w:val="18"/>
        </w:rPr>
        <w:lastRenderedPageBreak/>
        <w:t xml:space="preserve">Röðun og lagfæring vegarkafla þar sem slys eru mörg eða slysatíðni er há </w:t>
      </w:r>
    </w:p>
    <w:p w:rsidR="00443709" w:rsidRDefault="00443709" w:rsidP="003B597F">
      <w:pPr>
        <w:pStyle w:val="meginml"/>
        <w:numPr>
          <w:ilvl w:val="0"/>
          <w:numId w:val="4"/>
          <w:numberingChange w:id="4" w:author=" " w:date="2011-07-27T19:04:00Z" w:original="%1:4:1:."/>
        </w:numPr>
        <w:rPr>
          <w:sz w:val="24"/>
          <w:szCs w:val="18"/>
        </w:rPr>
      </w:pPr>
      <w:r>
        <w:rPr>
          <w:sz w:val="24"/>
          <w:szCs w:val="18"/>
        </w:rPr>
        <w:t>Umferðaröryggisúttektir</w:t>
      </w:r>
    </w:p>
    <w:p w:rsidR="00443709" w:rsidRDefault="00443709" w:rsidP="003B597F">
      <w:pPr>
        <w:pStyle w:val="meginml"/>
        <w:numPr>
          <w:ilvl w:val="0"/>
          <w:numId w:val="4"/>
          <w:numberingChange w:id="5" w:author=" " w:date="2011-07-27T19:04:00Z" w:original="%1:5:1:."/>
        </w:numPr>
        <w:rPr>
          <w:sz w:val="24"/>
          <w:szCs w:val="18"/>
        </w:rPr>
      </w:pPr>
      <w:r>
        <w:rPr>
          <w:sz w:val="24"/>
          <w:szCs w:val="18"/>
        </w:rPr>
        <w:t>Úrvinnslu slysaupplýsinga sem er að finna í slysaskýrslum</w:t>
      </w:r>
    </w:p>
    <w:p w:rsidR="00443709" w:rsidRDefault="00443709">
      <w:pPr>
        <w:pStyle w:val="meginml"/>
        <w:rPr>
          <w:sz w:val="24"/>
          <w:szCs w:val="18"/>
        </w:rPr>
      </w:pPr>
    </w:p>
    <w:p w:rsidR="00443709" w:rsidRDefault="00443709" w:rsidP="00BC7E15">
      <w:pPr>
        <w:pStyle w:val="meginml"/>
        <w:jc w:val="center"/>
        <w:rPr>
          <w:sz w:val="24"/>
          <w:szCs w:val="18"/>
        </w:rPr>
      </w:pPr>
      <w:r>
        <w:rPr>
          <w:sz w:val="24"/>
          <w:szCs w:val="18"/>
        </w:rPr>
        <w:t>9. gr.</w:t>
      </w:r>
    </w:p>
    <w:p w:rsidR="00443709" w:rsidRPr="00BC7E15" w:rsidRDefault="00443709" w:rsidP="00BC7E15">
      <w:pPr>
        <w:pStyle w:val="meginml"/>
        <w:jc w:val="center"/>
        <w:rPr>
          <w:b/>
          <w:sz w:val="24"/>
          <w:szCs w:val="18"/>
        </w:rPr>
      </w:pPr>
      <w:r w:rsidRPr="00BC7E15">
        <w:rPr>
          <w:b/>
          <w:sz w:val="24"/>
          <w:szCs w:val="18"/>
        </w:rPr>
        <w:t>Innleiðing</w:t>
      </w:r>
    </w:p>
    <w:p w:rsidR="00443709" w:rsidRDefault="00443709" w:rsidP="00F26E03">
      <w:pPr>
        <w:pStyle w:val="meginml"/>
        <w:rPr>
          <w:sz w:val="24"/>
          <w:szCs w:val="18"/>
        </w:rPr>
      </w:pPr>
      <w:r>
        <w:rPr>
          <w:sz w:val="24"/>
          <w:szCs w:val="18"/>
        </w:rPr>
        <w:t>Með reglugerð þessari öðlast gildi hér á landi tilskipun Evrópuþingsins og –ráðsins nr. 2008/96/EB frá 19. nóvember 2008 um öryggisstjórnun vegamannvirkja, samkvæmt ákvörðun sameiginlegu EES- nefndarinnar, sem birt er í EES-viðbæti nr. 20, 07.04. 2011, bls. 1.</w:t>
      </w:r>
    </w:p>
    <w:p w:rsidR="00443709" w:rsidRDefault="00443709" w:rsidP="00F26E03">
      <w:pPr>
        <w:pStyle w:val="meginml"/>
        <w:rPr>
          <w:sz w:val="24"/>
          <w:szCs w:val="18"/>
        </w:rPr>
      </w:pPr>
    </w:p>
    <w:p w:rsidR="00443709" w:rsidRDefault="00443709" w:rsidP="00F26E03">
      <w:pPr>
        <w:pStyle w:val="meginml"/>
        <w:jc w:val="center"/>
        <w:rPr>
          <w:sz w:val="24"/>
          <w:szCs w:val="18"/>
        </w:rPr>
      </w:pPr>
      <w:r>
        <w:rPr>
          <w:sz w:val="24"/>
          <w:szCs w:val="18"/>
        </w:rPr>
        <w:t>12. gr.</w:t>
      </w:r>
    </w:p>
    <w:p w:rsidR="00443709" w:rsidRPr="00BC7E15" w:rsidRDefault="00443709" w:rsidP="00BC7E15">
      <w:pPr>
        <w:pStyle w:val="meginml"/>
        <w:jc w:val="center"/>
        <w:rPr>
          <w:b/>
          <w:sz w:val="24"/>
          <w:szCs w:val="18"/>
        </w:rPr>
      </w:pPr>
      <w:r w:rsidRPr="00BC7E15">
        <w:rPr>
          <w:b/>
          <w:sz w:val="24"/>
          <w:szCs w:val="18"/>
        </w:rPr>
        <w:t>Gildistaka</w:t>
      </w:r>
    </w:p>
    <w:p w:rsidR="00443709" w:rsidRDefault="00443709" w:rsidP="005B13A2">
      <w:pPr>
        <w:pStyle w:val="meginml"/>
        <w:rPr>
          <w:sz w:val="24"/>
          <w:szCs w:val="18"/>
        </w:rPr>
      </w:pPr>
      <w:r>
        <w:rPr>
          <w:sz w:val="24"/>
          <w:szCs w:val="18"/>
        </w:rPr>
        <w:t>Reglugerð þessi er sett með vísan til 2. mgr. 46. gr. vegalaga nr. 80/2007 og öðlast gildi þann  1. október 2011.</w:t>
      </w:r>
    </w:p>
    <w:p w:rsidR="00443709" w:rsidRDefault="00443709" w:rsidP="005B13A2">
      <w:pPr>
        <w:pStyle w:val="meginml"/>
        <w:rPr>
          <w:sz w:val="24"/>
          <w:szCs w:val="18"/>
        </w:rPr>
      </w:pPr>
    </w:p>
    <w:p w:rsidR="00443709" w:rsidRDefault="00443709" w:rsidP="005B13A2">
      <w:pPr>
        <w:pStyle w:val="meginml"/>
        <w:rPr>
          <w:sz w:val="24"/>
          <w:szCs w:val="18"/>
        </w:rPr>
      </w:pPr>
    </w:p>
    <w:p w:rsidR="00443709" w:rsidRDefault="00443709" w:rsidP="005B13A2">
      <w:pPr>
        <w:pStyle w:val="meginml"/>
        <w:rPr>
          <w:sz w:val="24"/>
          <w:szCs w:val="18"/>
        </w:rPr>
      </w:pPr>
    </w:p>
    <w:p w:rsidR="00443709" w:rsidRDefault="00443709" w:rsidP="006B4D14">
      <w:pPr>
        <w:pStyle w:val="meginml"/>
        <w:jc w:val="center"/>
        <w:rPr>
          <w:sz w:val="24"/>
          <w:szCs w:val="18"/>
        </w:rPr>
      </w:pPr>
      <w:r>
        <w:rPr>
          <w:sz w:val="24"/>
          <w:szCs w:val="18"/>
        </w:rPr>
        <w:t>Innanríkisráðuneytinu, xx xxxxx 2011</w:t>
      </w:r>
    </w:p>
    <w:p w:rsidR="00443709" w:rsidRDefault="00443709">
      <w:pPr>
        <w:spacing w:after="200" w:line="276" w:lineRule="auto"/>
        <w:rPr>
          <w:noProof/>
          <w:snapToGrid w:val="0"/>
          <w:color w:val="000000"/>
          <w:szCs w:val="18"/>
        </w:rPr>
      </w:pPr>
      <w:r>
        <w:rPr>
          <w:szCs w:val="18"/>
        </w:rPr>
        <w:br w:type="page"/>
      </w:r>
    </w:p>
    <w:p w:rsidR="00443709" w:rsidRPr="005B13A2" w:rsidRDefault="00443709" w:rsidP="00A72F1F">
      <w:pPr>
        <w:pStyle w:val="meginml"/>
        <w:jc w:val="center"/>
      </w:pPr>
    </w:p>
    <w:sectPr w:rsidR="00443709" w:rsidRPr="005B13A2" w:rsidSect="00E17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09" w:rsidRDefault="00443709" w:rsidP="007D4AD4">
      <w:r>
        <w:separator/>
      </w:r>
    </w:p>
  </w:endnote>
  <w:endnote w:type="continuationSeparator" w:id="0">
    <w:p w:rsidR="00443709" w:rsidRDefault="00443709" w:rsidP="007D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Default="00443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Default="004437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Default="00443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09" w:rsidRDefault="00443709" w:rsidP="007D4AD4">
      <w:r>
        <w:separator/>
      </w:r>
    </w:p>
  </w:footnote>
  <w:footnote w:type="continuationSeparator" w:id="0">
    <w:p w:rsidR="00443709" w:rsidRDefault="00443709" w:rsidP="007D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Default="00785CCA">
    <w:pPr>
      <w:pStyle w:val="Header"/>
    </w:pPr>
    <w:r>
      <w:rPr>
        <w:noProof/>
        <w:lang w:eastAsia="is-I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Pr="007D4AD4" w:rsidRDefault="00785CCA">
    <w:pPr>
      <w:pStyle w:val="Header"/>
      <w:rPr>
        <w:sz w:val="20"/>
      </w:rPr>
    </w:pPr>
    <w:r w:rsidRPr="00785CCA">
      <w:rPr>
        <w:noProof/>
        <w:lang w:eastAsia="is-I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26.35pt;height:21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Default="00785CCA">
    <w:pPr>
      <w:pStyle w:val="Header"/>
    </w:pPr>
    <w:r>
      <w:rPr>
        <w:noProof/>
        <w:lang w:eastAsia="is-I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1CF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EC5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A1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B22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54C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3E1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C6C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01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E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A20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FEF418"/>
    <w:lvl w:ilvl="0">
      <w:numFmt w:val="bullet"/>
      <w:lvlText w:val="*"/>
      <w:lvlJc w:val="left"/>
    </w:lvl>
  </w:abstractNum>
  <w:abstractNum w:abstractNumId="11">
    <w:nsid w:val="13793989"/>
    <w:multiLevelType w:val="hybridMultilevel"/>
    <w:tmpl w:val="F6A49F00"/>
    <w:lvl w:ilvl="0" w:tplc="42BC722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4C454A9"/>
    <w:multiLevelType w:val="hybridMultilevel"/>
    <w:tmpl w:val="62DE7614"/>
    <w:lvl w:ilvl="0" w:tplc="ADCE69DA">
      <w:start w:val="4"/>
      <w:numFmt w:val="bullet"/>
      <w:lvlText w:val="·"/>
      <w:lvlJc w:val="left"/>
      <w:pPr>
        <w:ind w:left="720" w:hanging="360"/>
      </w:pPr>
      <w:rPr>
        <w:rFonts w:ascii="Helv" w:eastAsia="Times New Roman" w:hAnsi="Helv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3A7"/>
    <w:multiLevelType w:val="singleLevel"/>
    <w:tmpl w:val="8EB89AD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cs="Times New Roman" w:hint="default"/>
        <w:b w:val="0"/>
        <w:color w:val="000000"/>
      </w:rPr>
    </w:lvl>
  </w:abstractNum>
  <w:abstractNum w:abstractNumId="14">
    <w:nsid w:val="22C23773"/>
    <w:multiLevelType w:val="multilevel"/>
    <w:tmpl w:val="11FA1B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5">
    <w:nsid w:val="38891000"/>
    <w:multiLevelType w:val="hybridMultilevel"/>
    <w:tmpl w:val="9B42B892"/>
    <w:lvl w:ilvl="0" w:tplc="C4E04D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013A3"/>
    <w:multiLevelType w:val="hybridMultilevel"/>
    <w:tmpl w:val="B3E280A2"/>
    <w:lvl w:ilvl="0" w:tplc="75F0F5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B6114"/>
    <w:multiLevelType w:val="multilevel"/>
    <w:tmpl w:val="11FA1B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8">
    <w:nsid w:val="55FE47E0"/>
    <w:multiLevelType w:val="hybridMultilevel"/>
    <w:tmpl w:val="FDA675C6"/>
    <w:lvl w:ilvl="0" w:tplc="FE4098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8953CBE"/>
    <w:multiLevelType w:val="hybridMultilevel"/>
    <w:tmpl w:val="95E03AF0"/>
    <w:lvl w:ilvl="0" w:tplc="E19809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AD4"/>
    <w:rsid w:val="0000440A"/>
    <w:rsid w:val="000408B3"/>
    <w:rsid w:val="00090BAA"/>
    <w:rsid w:val="000B59C5"/>
    <w:rsid w:val="000C395C"/>
    <w:rsid w:val="000E6E05"/>
    <w:rsid w:val="00130F8B"/>
    <w:rsid w:val="00132FEB"/>
    <w:rsid w:val="00180F6A"/>
    <w:rsid w:val="001C6D08"/>
    <w:rsid w:val="001D4BA8"/>
    <w:rsid w:val="001D5779"/>
    <w:rsid w:val="001E329F"/>
    <w:rsid w:val="00202753"/>
    <w:rsid w:val="00204BEB"/>
    <w:rsid w:val="00211342"/>
    <w:rsid w:val="002165DE"/>
    <w:rsid w:val="00234DC4"/>
    <w:rsid w:val="00253D80"/>
    <w:rsid w:val="00256477"/>
    <w:rsid w:val="0026563F"/>
    <w:rsid w:val="00267E0A"/>
    <w:rsid w:val="002716C4"/>
    <w:rsid w:val="002A784E"/>
    <w:rsid w:val="002E0C50"/>
    <w:rsid w:val="003310E7"/>
    <w:rsid w:val="003354F9"/>
    <w:rsid w:val="0034202B"/>
    <w:rsid w:val="00343677"/>
    <w:rsid w:val="00364EFA"/>
    <w:rsid w:val="003679D4"/>
    <w:rsid w:val="00380556"/>
    <w:rsid w:val="00380C30"/>
    <w:rsid w:val="00394F3D"/>
    <w:rsid w:val="003B597F"/>
    <w:rsid w:val="00416D3A"/>
    <w:rsid w:val="00420F13"/>
    <w:rsid w:val="004210B8"/>
    <w:rsid w:val="00426676"/>
    <w:rsid w:val="004409D2"/>
    <w:rsid w:val="00443709"/>
    <w:rsid w:val="00455EAF"/>
    <w:rsid w:val="00461465"/>
    <w:rsid w:val="00461F48"/>
    <w:rsid w:val="00474F93"/>
    <w:rsid w:val="00491DBA"/>
    <w:rsid w:val="004A0BF2"/>
    <w:rsid w:val="004A5C8D"/>
    <w:rsid w:val="004B5B8E"/>
    <w:rsid w:val="004B5E22"/>
    <w:rsid w:val="004B7A77"/>
    <w:rsid w:val="004C012A"/>
    <w:rsid w:val="004C2A71"/>
    <w:rsid w:val="004C4187"/>
    <w:rsid w:val="004C5D15"/>
    <w:rsid w:val="004D0DF5"/>
    <w:rsid w:val="004E2B60"/>
    <w:rsid w:val="004E4E22"/>
    <w:rsid w:val="00504ADD"/>
    <w:rsid w:val="00523351"/>
    <w:rsid w:val="005278AB"/>
    <w:rsid w:val="0053342C"/>
    <w:rsid w:val="005455C7"/>
    <w:rsid w:val="00546672"/>
    <w:rsid w:val="00556B17"/>
    <w:rsid w:val="00557759"/>
    <w:rsid w:val="00566C3A"/>
    <w:rsid w:val="005677CB"/>
    <w:rsid w:val="005732C1"/>
    <w:rsid w:val="00573809"/>
    <w:rsid w:val="00583AB2"/>
    <w:rsid w:val="005B13A2"/>
    <w:rsid w:val="005B41DB"/>
    <w:rsid w:val="005B49D1"/>
    <w:rsid w:val="005E26DB"/>
    <w:rsid w:val="005E5A12"/>
    <w:rsid w:val="005F109B"/>
    <w:rsid w:val="00641465"/>
    <w:rsid w:val="006418A0"/>
    <w:rsid w:val="006468BB"/>
    <w:rsid w:val="006544B6"/>
    <w:rsid w:val="00662B17"/>
    <w:rsid w:val="00666EED"/>
    <w:rsid w:val="006906C2"/>
    <w:rsid w:val="00690A0B"/>
    <w:rsid w:val="006941B7"/>
    <w:rsid w:val="00696364"/>
    <w:rsid w:val="006A0E92"/>
    <w:rsid w:val="006A1987"/>
    <w:rsid w:val="006A6BEC"/>
    <w:rsid w:val="006B4D14"/>
    <w:rsid w:val="006D31B0"/>
    <w:rsid w:val="006D3893"/>
    <w:rsid w:val="006F03C3"/>
    <w:rsid w:val="006F6D40"/>
    <w:rsid w:val="0070399F"/>
    <w:rsid w:val="00712214"/>
    <w:rsid w:val="007147F2"/>
    <w:rsid w:val="00716B57"/>
    <w:rsid w:val="007207E2"/>
    <w:rsid w:val="00723575"/>
    <w:rsid w:val="007413EE"/>
    <w:rsid w:val="007446C2"/>
    <w:rsid w:val="00747248"/>
    <w:rsid w:val="00751A03"/>
    <w:rsid w:val="007601DA"/>
    <w:rsid w:val="00783CA3"/>
    <w:rsid w:val="00785CCA"/>
    <w:rsid w:val="007A190D"/>
    <w:rsid w:val="007A57D9"/>
    <w:rsid w:val="007D4AD4"/>
    <w:rsid w:val="007D7A70"/>
    <w:rsid w:val="007F3137"/>
    <w:rsid w:val="008043B7"/>
    <w:rsid w:val="0080678E"/>
    <w:rsid w:val="008224C1"/>
    <w:rsid w:val="00833751"/>
    <w:rsid w:val="008430B2"/>
    <w:rsid w:val="008462B8"/>
    <w:rsid w:val="00850081"/>
    <w:rsid w:val="00854D33"/>
    <w:rsid w:val="008673EA"/>
    <w:rsid w:val="00874F56"/>
    <w:rsid w:val="00877045"/>
    <w:rsid w:val="00885CC6"/>
    <w:rsid w:val="0089000C"/>
    <w:rsid w:val="008921CF"/>
    <w:rsid w:val="008A7104"/>
    <w:rsid w:val="008B5CE0"/>
    <w:rsid w:val="008D1AE3"/>
    <w:rsid w:val="008D2326"/>
    <w:rsid w:val="008E1165"/>
    <w:rsid w:val="008E7C79"/>
    <w:rsid w:val="00905895"/>
    <w:rsid w:val="0090713B"/>
    <w:rsid w:val="009460B0"/>
    <w:rsid w:val="00946F79"/>
    <w:rsid w:val="009519DC"/>
    <w:rsid w:val="0096175A"/>
    <w:rsid w:val="009624C2"/>
    <w:rsid w:val="00985530"/>
    <w:rsid w:val="009A562F"/>
    <w:rsid w:val="009A69F7"/>
    <w:rsid w:val="009D3916"/>
    <w:rsid w:val="009E3005"/>
    <w:rsid w:val="00A051E8"/>
    <w:rsid w:val="00A104D2"/>
    <w:rsid w:val="00A163AC"/>
    <w:rsid w:val="00A72540"/>
    <w:rsid w:val="00A72F1F"/>
    <w:rsid w:val="00A81D01"/>
    <w:rsid w:val="00A95A2A"/>
    <w:rsid w:val="00A95F44"/>
    <w:rsid w:val="00AB3B1D"/>
    <w:rsid w:val="00AD18ED"/>
    <w:rsid w:val="00AE4450"/>
    <w:rsid w:val="00AF0E26"/>
    <w:rsid w:val="00B26352"/>
    <w:rsid w:val="00B411FF"/>
    <w:rsid w:val="00B642BA"/>
    <w:rsid w:val="00B80756"/>
    <w:rsid w:val="00B8363A"/>
    <w:rsid w:val="00BA7E48"/>
    <w:rsid w:val="00BC1133"/>
    <w:rsid w:val="00BC7E15"/>
    <w:rsid w:val="00BE01FB"/>
    <w:rsid w:val="00BF4FF9"/>
    <w:rsid w:val="00C033D8"/>
    <w:rsid w:val="00C038F6"/>
    <w:rsid w:val="00C04128"/>
    <w:rsid w:val="00C11A7A"/>
    <w:rsid w:val="00C168C9"/>
    <w:rsid w:val="00C20A54"/>
    <w:rsid w:val="00C32F43"/>
    <w:rsid w:val="00C410E7"/>
    <w:rsid w:val="00C56516"/>
    <w:rsid w:val="00C703F8"/>
    <w:rsid w:val="00C7572C"/>
    <w:rsid w:val="00C85D9B"/>
    <w:rsid w:val="00C953AD"/>
    <w:rsid w:val="00CA3C06"/>
    <w:rsid w:val="00CA5649"/>
    <w:rsid w:val="00CC3D6E"/>
    <w:rsid w:val="00CF1D25"/>
    <w:rsid w:val="00D11245"/>
    <w:rsid w:val="00D12145"/>
    <w:rsid w:val="00D14EB1"/>
    <w:rsid w:val="00D24990"/>
    <w:rsid w:val="00D62FED"/>
    <w:rsid w:val="00D64564"/>
    <w:rsid w:val="00D65D64"/>
    <w:rsid w:val="00D66CD0"/>
    <w:rsid w:val="00D95ACA"/>
    <w:rsid w:val="00DA4E1A"/>
    <w:rsid w:val="00DB7231"/>
    <w:rsid w:val="00DD2FFF"/>
    <w:rsid w:val="00DD74C9"/>
    <w:rsid w:val="00DE17F0"/>
    <w:rsid w:val="00DE1DBD"/>
    <w:rsid w:val="00E03713"/>
    <w:rsid w:val="00E0431D"/>
    <w:rsid w:val="00E135A7"/>
    <w:rsid w:val="00E1704D"/>
    <w:rsid w:val="00E22D69"/>
    <w:rsid w:val="00E27F88"/>
    <w:rsid w:val="00E3570C"/>
    <w:rsid w:val="00E53744"/>
    <w:rsid w:val="00E55E04"/>
    <w:rsid w:val="00E84C8A"/>
    <w:rsid w:val="00E96826"/>
    <w:rsid w:val="00E97D5C"/>
    <w:rsid w:val="00EA6070"/>
    <w:rsid w:val="00EA70A4"/>
    <w:rsid w:val="00EA7F78"/>
    <w:rsid w:val="00EB3BF1"/>
    <w:rsid w:val="00EC7534"/>
    <w:rsid w:val="00ED59E2"/>
    <w:rsid w:val="00EE23D4"/>
    <w:rsid w:val="00EE429D"/>
    <w:rsid w:val="00EE7FE3"/>
    <w:rsid w:val="00EF075B"/>
    <w:rsid w:val="00EF3549"/>
    <w:rsid w:val="00F03CCF"/>
    <w:rsid w:val="00F10B47"/>
    <w:rsid w:val="00F123E5"/>
    <w:rsid w:val="00F12B40"/>
    <w:rsid w:val="00F26E03"/>
    <w:rsid w:val="00F3147D"/>
    <w:rsid w:val="00F47F29"/>
    <w:rsid w:val="00F52DEA"/>
    <w:rsid w:val="00F53E4C"/>
    <w:rsid w:val="00F56180"/>
    <w:rsid w:val="00F64238"/>
    <w:rsid w:val="00F64B95"/>
    <w:rsid w:val="00F92A87"/>
    <w:rsid w:val="00F950AB"/>
    <w:rsid w:val="00FA4EE2"/>
    <w:rsid w:val="00FB0129"/>
    <w:rsid w:val="00FB43A5"/>
    <w:rsid w:val="00FB665A"/>
    <w:rsid w:val="00FC27EF"/>
    <w:rsid w:val="00FC6DED"/>
    <w:rsid w:val="00FE7B78"/>
    <w:rsid w:val="00FF190D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9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7D4A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D4AD4"/>
    <w:rPr>
      <w:rFonts w:ascii="Times New Roman" w:hAnsi="Times New Roman" w:cs="Times New Roman"/>
      <w:b/>
      <w:bCs/>
      <w:i/>
      <w:iCs/>
      <w:color w:val="4F81BD"/>
      <w:sz w:val="24"/>
    </w:rPr>
  </w:style>
  <w:style w:type="paragraph" w:styleId="Header">
    <w:name w:val="header"/>
    <w:basedOn w:val="Normal"/>
    <w:link w:val="HeaderChar"/>
    <w:uiPriority w:val="99"/>
    <w:semiHidden/>
    <w:rsid w:val="007D4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AD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D4A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AD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7D4AD4"/>
    <w:pPr>
      <w:ind w:left="720"/>
      <w:contextualSpacing/>
    </w:pPr>
  </w:style>
  <w:style w:type="paragraph" w:customStyle="1" w:styleId="meginml">
    <w:name w:val="meginmál"/>
    <w:basedOn w:val="Normal"/>
    <w:uiPriority w:val="99"/>
    <w:rsid w:val="002165DE"/>
    <w:pPr>
      <w:jc w:val="both"/>
    </w:pPr>
    <w:rPr>
      <w:rFonts w:eastAsia="Times New Roman"/>
      <w:noProof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8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04ADD"/>
    <w:rPr>
      <w:rFonts w:ascii="Tahoma" w:eastAsia="Times New Roman" w:hAnsi="Tahoma"/>
      <w:color w:val="333333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4ADD"/>
    <w:rPr>
      <w:rFonts w:ascii="Tahoma" w:hAnsi="Tahoma" w:cs="Times New Roman"/>
      <w:color w:val="333333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04AD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B5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9C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59C5"/>
    <w:rPr>
      <w:b/>
      <w:bCs/>
    </w:rPr>
  </w:style>
  <w:style w:type="paragraph" w:styleId="Revision">
    <w:name w:val="Revision"/>
    <w:hidden/>
    <w:uiPriority w:val="99"/>
    <w:semiHidden/>
    <w:rsid w:val="00E96826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763</Words>
  <Characters>4543</Characters>
  <Application>Microsoft Office Word</Application>
  <DocSecurity>0</DocSecurity>
  <Lines>37</Lines>
  <Paragraphs>10</Paragraphs>
  <ScaleCrop>false</ScaleCrop>
  <Company>Vegagerðin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Drög að reglugerð</dc:title>
  <dc:subject/>
  <dc:creator>Eiríkur Bjarnason</dc:creator>
  <cp:keywords/>
  <dc:description/>
  <cp:lastModifiedBy> </cp:lastModifiedBy>
  <cp:revision>3</cp:revision>
  <cp:lastPrinted>2011-07-27T19:06:00Z</cp:lastPrinted>
  <dcterms:created xsi:type="dcterms:W3CDTF">2011-07-29T15:33:00Z</dcterms:created>
  <dcterms:modified xsi:type="dcterms:W3CDTF">2011-07-29T15:58:00Z</dcterms:modified>
</cp:coreProperties>
</file>