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9A" w:rsidRDefault="00B8629A" w:rsidP="00FE66B8">
      <w:pPr>
        <w:autoSpaceDE w:val="0"/>
        <w:autoSpaceDN w:val="0"/>
        <w:adjustRightInd w:val="0"/>
        <w:jc w:val="center"/>
        <w:rPr>
          <w:rFonts w:cs="Times New Roman"/>
          <w:b/>
          <w:bCs/>
          <w:sz w:val="38"/>
          <w:szCs w:val="38"/>
        </w:rPr>
      </w:pPr>
      <w:bookmarkStart w:id="0" w:name="_GoBack"/>
      <w:bookmarkEnd w:id="0"/>
    </w:p>
    <w:p w:rsidR="00B8629A" w:rsidRDefault="00B8629A" w:rsidP="00FE66B8">
      <w:pPr>
        <w:autoSpaceDE w:val="0"/>
        <w:autoSpaceDN w:val="0"/>
        <w:adjustRightInd w:val="0"/>
        <w:jc w:val="center"/>
        <w:rPr>
          <w:rFonts w:cs="Times New Roman"/>
          <w:b/>
          <w:bCs/>
          <w:sz w:val="38"/>
          <w:szCs w:val="38"/>
        </w:rPr>
      </w:pPr>
    </w:p>
    <w:p w:rsidR="001A06D4" w:rsidRDefault="001A06D4" w:rsidP="00FE66B8">
      <w:pPr>
        <w:autoSpaceDE w:val="0"/>
        <w:autoSpaceDN w:val="0"/>
        <w:adjustRightInd w:val="0"/>
        <w:jc w:val="center"/>
        <w:rPr>
          <w:rFonts w:cs="Times New Roman"/>
          <w:b/>
          <w:bCs/>
          <w:sz w:val="38"/>
          <w:szCs w:val="38"/>
        </w:rPr>
      </w:pPr>
      <w:r w:rsidRPr="001A06D4">
        <w:rPr>
          <w:rFonts w:cs="Times New Roman"/>
          <w:b/>
          <w:bCs/>
          <w:sz w:val="38"/>
          <w:szCs w:val="38"/>
        </w:rPr>
        <w:t>Frumvarp til laga</w:t>
      </w:r>
    </w:p>
    <w:p w:rsidR="001A06D4" w:rsidRPr="001A06D4" w:rsidRDefault="001A06D4" w:rsidP="00FE66B8">
      <w:pPr>
        <w:autoSpaceDE w:val="0"/>
        <w:autoSpaceDN w:val="0"/>
        <w:adjustRightInd w:val="0"/>
        <w:jc w:val="center"/>
        <w:rPr>
          <w:rFonts w:cs="Times New Roman"/>
          <w:b/>
          <w:bCs/>
          <w:sz w:val="28"/>
          <w:szCs w:val="28"/>
        </w:rPr>
      </w:pPr>
    </w:p>
    <w:p w:rsidR="001A06D4" w:rsidRDefault="001A06D4" w:rsidP="00FE66B8">
      <w:pPr>
        <w:autoSpaceDE w:val="0"/>
        <w:autoSpaceDN w:val="0"/>
        <w:adjustRightInd w:val="0"/>
        <w:jc w:val="center"/>
        <w:rPr>
          <w:rFonts w:cs="Times New Roman"/>
          <w:b/>
          <w:bCs/>
          <w:szCs w:val="24"/>
        </w:rPr>
      </w:pPr>
      <w:r w:rsidRPr="001A06D4">
        <w:rPr>
          <w:rFonts w:cs="Times New Roman"/>
          <w:b/>
          <w:bCs/>
          <w:szCs w:val="24"/>
        </w:rPr>
        <w:t xml:space="preserve">um </w:t>
      </w:r>
      <w:r w:rsidR="004C511B">
        <w:rPr>
          <w:rFonts w:cs="Times New Roman"/>
          <w:b/>
          <w:bCs/>
          <w:szCs w:val="24"/>
        </w:rPr>
        <w:t xml:space="preserve">afnám laga um </w:t>
      </w:r>
      <w:r w:rsidRPr="001A06D4">
        <w:rPr>
          <w:rFonts w:cs="Times New Roman"/>
          <w:b/>
          <w:bCs/>
          <w:szCs w:val="24"/>
        </w:rPr>
        <w:t>þriðju kynslóð farsíma.</w:t>
      </w:r>
    </w:p>
    <w:p w:rsidR="001A06D4" w:rsidRPr="001A06D4" w:rsidRDefault="001A06D4" w:rsidP="00FE66B8">
      <w:pPr>
        <w:autoSpaceDE w:val="0"/>
        <w:autoSpaceDN w:val="0"/>
        <w:adjustRightInd w:val="0"/>
        <w:jc w:val="center"/>
        <w:rPr>
          <w:rFonts w:cs="Times New Roman"/>
          <w:b/>
          <w:bCs/>
          <w:szCs w:val="24"/>
        </w:rPr>
      </w:pPr>
    </w:p>
    <w:p w:rsidR="001A06D4" w:rsidRPr="001A06D4" w:rsidRDefault="001A06D4" w:rsidP="00FE66B8">
      <w:pPr>
        <w:jc w:val="center"/>
        <w:rPr>
          <w:rFonts w:eastAsia="Times New Roman" w:cs="Times New Roman"/>
          <w:szCs w:val="24"/>
          <w:lang w:eastAsia="is-IS"/>
        </w:rPr>
      </w:pPr>
      <w:r w:rsidRPr="001A06D4">
        <w:rPr>
          <w:rFonts w:cs="Times New Roman"/>
          <w:sz w:val="21"/>
          <w:szCs w:val="21"/>
        </w:rPr>
        <w:t xml:space="preserve">(Lagt fyrir Alþingi á </w:t>
      </w:r>
      <w:r w:rsidR="00B75C8F">
        <w:rPr>
          <w:rFonts w:cs="Times New Roman"/>
          <w:sz w:val="21"/>
          <w:szCs w:val="21"/>
        </w:rPr>
        <w:t>xxxx</w:t>
      </w:r>
      <w:r w:rsidRPr="001A06D4">
        <w:rPr>
          <w:rFonts w:cs="Times New Roman"/>
          <w:sz w:val="21"/>
          <w:szCs w:val="21"/>
        </w:rPr>
        <w:t>. löggjafarþingi 20</w:t>
      </w:r>
      <w:r w:rsidR="00B75C8F">
        <w:rPr>
          <w:rFonts w:cs="Times New Roman"/>
          <w:sz w:val="21"/>
          <w:szCs w:val="21"/>
        </w:rPr>
        <w:t>15</w:t>
      </w:r>
      <w:r w:rsidRPr="001A06D4">
        <w:rPr>
          <w:rFonts w:cs="Times New Roman"/>
          <w:sz w:val="21"/>
          <w:szCs w:val="21"/>
        </w:rPr>
        <w:t>–20</w:t>
      </w:r>
      <w:r w:rsidR="00B75C8F">
        <w:rPr>
          <w:rFonts w:cs="Times New Roman"/>
          <w:sz w:val="21"/>
          <w:szCs w:val="21"/>
        </w:rPr>
        <w:t>16</w:t>
      </w:r>
      <w:r w:rsidRPr="001A06D4">
        <w:rPr>
          <w:rFonts w:cs="Times New Roman"/>
          <w:sz w:val="21"/>
          <w:szCs w:val="21"/>
        </w:rPr>
        <w:t>.)</w:t>
      </w:r>
    </w:p>
    <w:p w:rsidR="001E4672" w:rsidRDefault="001E4672" w:rsidP="00FE66B8">
      <w:pPr>
        <w:jc w:val="center"/>
        <w:rPr>
          <w:rFonts w:eastAsia="Times New Roman" w:cs="Times New Roman"/>
          <w:szCs w:val="24"/>
          <w:lang w:eastAsia="is-IS"/>
        </w:rPr>
      </w:pPr>
    </w:p>
    <w:p w:rsidR="001E4672" w:rsidRDefault="001E4672" w:rsidP="001E4672">
      <w:pPr>
        <w:pStyle w:val="ListParagraph"/>
        <w:ind w:left="0"/>
        <w:jc w:val="center"/>
        <w:rPr>
          <w:rFonts w:eastAsia="Times New Roman" w:cs="Times New Roman"/>
          <w:szCs w:val="24"/>
          <w:lang w:eastAsia="is-IS"/>
        </w:rPr>
      </w:pPr>
      <w:r>
        <w:rPr>
          <w:rFonts w:eastAsia="Times New Roman" w:cs="Times New Roman"/>
          <w:szCs w:val="24"/>
          <w:lang w:eastAsia="is-IS"/>
        </w:rPr>
        <w:t xml:space="preserve">1. </w:t>
      </w:r>
      <w:r w:rsidR="001A06D4" w:rsidRPr="001E4672">
        <w:rPr>
          <w:rFonts w:eastAsia="Times New Roman" w:cs="Times New Roman"/>
          <w:szCs w:val="24"/>
          <w:lang w:eastAsia="is-IS"/>
        </w:rPr>
        <w:t>gr.</w:t>
      </w:r>
    </w:p>
    <w:p w:rsidR="001A06D4" w:rsidRPr="001E4672" w:rsidRDefault="00B75C8F" w:rsidP="001E4672">
      <w:pPr>
        <w:pStyle w:val="ListParagraph"/>
        <w:ind w:left="0"/>
        <w:jc w:val="center"/>
        <w:rPr>
          <w:rFonts w:eastAsia="Times New Roman" w:cs="Times New Roman"/>
          <w:i/>
          <w:iCs/>
          <w:szCs w:val="24"/>
          <w:lang w:eastAsia="is-IS"/>
        </w:rPr>
      </w:pPr>
      <w:r w:rsidRPr="001E4672">
        <w:rPr>
          <w:rFonts w:eastAsia="Times New Roman" w:cs="Times New Roman"/>
          <w:i/>
          <w:iCs/>
          <w:szCs w:val="24"/>
          <w:lang w:eastAsia="is-IS"/>
        </w:rPr>
        <w:t>Afnám laga</w:t>
      </w:r>
      <w:r w:rsidR="001A06D4" w:rsidRPr="001E4672">
        <w:rPr>
          <w:rFonts w:eastAsia="Times New Roman" w:cs="Times New Roman"/>
          <w:i/>
          <w:iCs/>
          <w:szCs w:val="24"/>
          <w:lang w:eastAsia="is-IS"/>
        </w:rPr>
        <w:t>.</w:t>
      </w:r>
    </w:p>
    <w:p w:rsidR="001E4672" w:rsidRPr="001E4672" w:rsidRDefault="001E4672" w:rsidP="001E4672">
      <w:pPr>
        <w:pStyle w:val="ListParagraph"/>
        <w:rPr>
          <w:rFonts w:eastAsia="Times New Roman" w:cs="Times New Roman"/>
          <w:szCs w:val="24"/>
          <w:lang w:eastAsia="is-IS"/>
        </w:rPr>
      </w:pPr>
    </w:p>
    <w:p w:rsidR="001A06D4" w:rsidRDefault="00B75C8F" w:rsidP="00FE66B8">
      <w:pPr>
        <w:jc w:val="left"/>
        <w:rPr>
          <w:rFonts w:eastAsia="Times New Roman" w:cs="Times New Roman"/>
          <w:szCs w:val="24"/>
          <w:lang w:eastAsia="is-IS"/>
        </w:rPr>
      </w:pPr>
      <w:r>
        <w:rPr>
          <w:rFonts w:eastAsia="Times New Roman" w:cs="Times New Roman"/>
          <w:szCs w:val="24"/>
          <w:lang w:eastAsia="is-IS"/>
        </w:rPr>
        <w:t>Lög nr. 8/2005 um þriðju kynslóð farsíma falla úr gildi.</w:t>
      </w:r>
    </w:p>
    <w:p w:rsidR="001E4672" w:rsidRPr="001A06D4" w:rsidRDefault="001E4672" w:rsidP="00FE66B8">
      <w:pPr>
        <w:jc w:val="left"/>
        <w:rPr>
          <w:rFonts w:eastAsia="Times New Roman" w:cs="Times New Roman"/>
          <w:szCs w:val="24"/>
          <w:lang w:eastAsia="is-IS"/>
        </w:rPr>
      </w:pPr>
    </w:p>
    <w:p w:rsidR="001A06D4" w:rsidRDefault="001A06D4" w:rsidP="00FE66B8">
      <w:pPr>
        <w:jc w:val="center"/>
        <w:rPr>
          <w:rFonts w:eastAsia="Times New Roman" w:cs="Times New Roman"/>
          <w:i/>
          <w:iCs/>
          <w:szCs w:val="24"/>
          <w:lang w:eastAsia="is-IS"/>
        </w:rPr>
      </w:pPr>
      <w:r w:rsidRPr="001A06D4">
        <w:rPr>
          <w:rFonts w:eastAsia="Times New Roman" w:cs="Times New Roman"/>
          <w:szCs w:val="24"/>
          <w:lang w:eastAsia="is-IS"/>
        </w:rPr>
        <w:t>2. gr.</w:t>
      </w:r>
      <w:r w:rsidRPr="001A06D4">
        <w:rPr>
          <w:rFonts w:eastAsia="Times New Roman" w:cs="Times New Roman"/>
          <w:szCs w:val="24"/>
          <w:lang w:eastAsia="is-IS"/>
        </w:rPr>
        <w:br/>
      </w:r>
      <w:r w:rsidR="00B75C8F">
        <w:rPr>
          <w:rFonts w:eastAsia="Times New Roman" w:cs="Times New Roman"/>
          <w:i/>
          <w:iCs/>
          <w:szCs w:val="24"/>
          <w:lang w:eastAsia="is-IS"/>
        </w:rPr>
        <w:t>Gildistaka</w:t>
      </w:r>
      <w:r w:rsidRPr="001A06D4">
        <w:rPr>
          <w:rFonts w:eastAsia="Times New Roman" w:cs="Times New Roman"/>
          <w:i/>
          <w:iCs/>
          <w:szCs w:val="24"/>
          <w:lang w:eastAsia="is-IS"/>
        </w:rPr>
        <w:t>.</w:t>
      </w:r>
    </w:p>
    <w:p w:rsidR="001E4672" w:rsidRDefault="001E4672" w:rsidP="00FE66B8">
      <w:pPr>
        <w:jc w:val="left"/>
        <w:rPr>
          <w:rFonts w:eastAsia="Times New Roman" w:cs="Times New Roman"/>
          <w:szCs w:val="24"/>
          <w:lang w:eastAsia="is-IS"/>
        </w:rPr>
      </w:pPr>
    </w:p>
    <w:p w:rsidR="00B75C8F" w:rsidRPr="001A06D4" w:rsidRDefault="00B75C8F" w:rsidP="00FE66B8">
      <w:pPr>
        <w:jc w:val="left"/>
        <w:rPr>
          <w:rFonts w:eastAsia="Times New Roman" w:cs="Times New Roman"/>
          <w:szCs w:val="24"/>
          <w:lang w:eastAsia="is-IS"/>
        </w:rPr>
      </w:pPr>
      <w:r w:rsidRPr="001A06D4">
        <w:rPr>
          <w:rFonts w:eastAsia="Times New Roman" w:cs="Times New Roman"/>
          <w:szCs w:val="24"/>
          <w:lang w:eastAsia="is-IS"/>
        </w:rPr>
        <w:t>Lög þessi öðlast þegar gildi.</w:t>
      </w:r>
    </w:p>
    <w:p w:rsidR="001E4672" w:rsidRDefault="001E4672" w:rsidP="00FE66B8">
      <w:pPr>
        <w:jc w:val="center"/>
        <w:rPr>
          <w:rFonts w:eastAsia="Times New Roman" w:cs="Times New Roman"/>
          <w:b/>
          <w:szCs w:val="24"/>
          <w:lang w:eastAsia="is-IS"/>
        </w:rPr>
      </w:pPr>
    </w:p>
    <w:p w:rsidR="00B75C8F" w:rsidRDefault="00B75C8F" w:rsidP="00FE66B8">
      <w:pPr>
        <w:jc w:val="center"/>
        <w:rPr>
          <w:rFonts w:eastAsia="Times New Roman" w:cs="Times New Roman"/>
          <w:b/>
          <w:szCs w:val="24"/>
          <w:lang w:eastAsia="is-IS"/>
        </w:rPr>
      </w:pPr>
      <w:r w:rsidRPr="00B75C8F">
        <w:rPr>
          <w:rFonts w:eastAsia="Times New Roman" w:cs="Times New Roman"/>
          <w:b/>
          <w:szCs w:val="24"/>
          <w:lang w:eastAsia="is-IS"/>
        </w:rPr>
        <w:t>Ákvæði til bráðabirgða</w:t>
      </w:r>
    </w:p>
    <w:p w:rsidR="001E4672" w:rsidRDefault="001E4672" w:rsidP="00FE66B8">
      <w:pPr>
        <w:jc w:val="center"/>
        <w:rPr>
          <w:rFonts w:eastAsia="Times New Roman" w:cs="Times New Roman"/>
          <w:b/>
          <w:szCs w:val="24"/>
          <w:lang w:eastAsia="is-IS"/>
        </w:rPr>
      </w:pPr>
    </w:p>
    <w:p w:rsidR="000444C1" w:rsidRPr="000444C1" w:rsidRDefault="000444C1" w:rsidP="000444C1">
      <w:pPr>
        <w:jc w:val="left"/>
        <w:rPr>
          <w:rFonts w:eastAsia="Times New Roman" w:cs="Times New Roman"/>
          <w:szCs w:val="24"/>
          <w:lang w:eastAsia="is-IS"/>
        </w:rPr>
      </w:pPr>
      <w:r w:rsidRPr="000444C1">
        <w:rPr>
          <w:rFonts w:eastAsia="Times New Roman" w:cs="Times New Roman"/>
          <w:szCs w:val="24"/>
          <w:lang w:eastAsia="is-IS"/>
        </w:rPr>
        <w:t xml:space="preserve">Tíðniheimildir sem gefnar hafa verið út á grundvelli laga nr. 8/2005 um þriðju kynslóð farsíma skulu halda gildi sínu til loka gildistíma heimildanna eða til 30. mars 2022. </w:t>
      </w:r>
    </w:p>
    <w:p w:rsidR="00B75C8F" w:rsidRPr="001A06D4" w:rsidRDefault="00B75C8F" w:rsidP="00FE66B8">
      <w:pPr>
        <w:jc w:val="left"/>
        <w:rPr>
          <w:rFonts w:eastAsia="Times New Roman" w:cs="Times New Roman"/>
          <w:b/>
          <w:szCs w:val="24"/>
          <w:lang w:eastAsia="is-IS"/>
        </w:rPr>
      </w:pPr>
      <w:r>
        <w:rPr>
          <w:rFonts w:eastAsia="Times New Roman" w:cs="Times New Roman"/>
          <w:szCs w:val="24"/>
          <w:lang w:eastAsia="is-IS"/>
        </w:rPr>
        <w:t xml:space="preserve"> </w:t>
      </w:r>
      <w:r w:rsidRPr="00B75C8F">
        <w:rPr>
          <w:rFonts w:eastAsia="Times New Roman" w:cs="Times New Roman"/>
          <w:b/>
          <w:szCs w:val="24"/>
          <w:lang w:eastAsia="is-IS"/>
        </w:rPr>
        <w:t xml:space="preserve"> </w:t>
      </w:r>
    </w:p>
    <w:p w:rsidR="00A31D01" w:rsidRDefault="00A31D01" w:rsidP="00FE66B8">
      <w:pPr>
        <w:jc w:val="center"/>
        <w:rPr>
          <w:rFonts w:eastAsia="Times New Roman" w:cs="Times New Roman"/>
          <w:b/>
          <w:bCs/>
          <w:szCs w:val="24"/>
          <w:lang w:eastAsia="is-IS"/>
        </w:rPr>
      </w:pPr>
    </w:p>
    <w:p w:rsidR="001A06D4" w:rsidRDefault="001A06D4" w:rsidP="00FE66B8">
      <w:pPr>
        <w:jc w:val="center"/>
        <w:rPr>
          <w:rFonts w:eastAsia="Times New Roman" w:cs="Times New Roman"/>
          <w:b/>
          <w:bCs/>
          <w:szCs w:val="24"/>
          <w:lang w:eastAsia="is-IS"/>
        </w:rPr>
      </w:pPr>
      <w:r w:rsidRPr="001A06D4">
        <w:rPr>
          <w:rFonts w:eastAsia="Times New Roman" w:cs="Times New Roman"/>
          <w:b/>
          <w:bCs/>
          <w:szCs w:val="24"/>
          <w:lang w:eastAsia="is-IS"/>
        </w:rPr>
        <w:t>Athugasemdir við lagafrumvarp þetta.</w:t>
      </w:r>
    </w:p>
    <w:p w:rsidR="001E4672" w:rsidRPr="001A06D4" w:rsidRDefault="001E4672" w:rsidP="00FE66B8">
      <w:pPr>
        <w:jc w:val="center"/>
        <w:rPr>
          <w:rFonts w:eastAsia="Times New Roman" w:cs="Times New Roman"/>
          <w:szCs w:val="24"/>
          <w:lang w:eastAsia="is-IS"/>
        </w:rPr>
      </w:pPr>
    </w:p>
    <w:p w:rsidR="00473DED" w:rsidRDefault="00473DED" w:rsidP="00231A1E">
      <w:pPr>
        <w:rPr>
          <w:rFonts w:eastAsia="Times New Roman" w:cs="Times New Roman"/>
          <w:b/>
          <w:szCs w:val="24"/>
          <w:lang w:eastAsia="is-IS"/>
        </w:rPr>
      </w:pPr>
      <w:r>
        <w:rPr>
          <w:rFonts w:eastAsia="Times New Roman" w:cs="Times New Roman"/>
          <w:b/>
          <w:szCs w:val="24"/>
          <w:lang w:eastAsia="is-IS"/>
        </w:rPr>
        <w:t xml:space="preserve">I. </w:t>
      </w:r>
      <w:r w:rsidR="00274C1A" w:rsidRPr="00473DED">
        <w:rPr>
          <w:rFonts w:eastAsia="Times New Roman" w:cs="Times New Roman"/>
          <w:b/>
          <w:szCs w:val="24"/>
          <w:lang w:eastAsia="is-IS"/>
        </w:rPr>
        <w:t>Inngangur.</w:t>
      </w:r>
    </w:p>
    <w:p w:rsidR="00473DED" w:rsidRDefault="00473DED" w:rsidP="00FE66B8">
      <w:pPr>
        <w:rPr>
          <w:rFonts w:eastAsia="Times New Roman" w:cs="Times New Roman"/>
          <w:szCs w:val="24"/>
          <w:lang w:eastAsia="is-IS"/>
        </w:rPr>
      </w:pPr>
      <w:r>
        <w:rPr>
          <w:rFonts w:eastAsia="Times New Roman" w:cs="Times New Roman"/>
          <w:szCs w:val="24"/>
          <w:lang w:eastAsia="is-IS"/>
        </w:rPr>
        <w:t>Tilgangur frumvarpsins er að aðlaga nýtingu á 2100 MHz tíðnisviðinu að alþjóðlegum skuldbindingum og þörfum markaðarins. Í dag er þetta tíðnisvið frátekið fyrir þriðju kynslóð farsíma (IM</w:t>
      </w:r>
      <w:r w:rsidR="001A41C9">
        <w:rPr>
          <w:rFonts w:eastAsia="Times New Roman" w:cs="Times New Roman"/>
          <w:szCs w:val="24"/>
          <w:lang w:eastAsia="is-IS"/>
        </w:rPr>
        <w:t>T-2000/</w:t>
      </w:r>
      <w:r>
        <w:rPr>
          <w:rFonts w:eastAsia="Times New Roman" w:cs="Times New Roman"/>
          <w:szCs w:val="24"/>
          <w:lang w:eastAsia="is-IS"/>
        </w:rPr>
        <w:t>UMTS</w:t>
      </w:r>
      <w:r w:rsidR="001A41C9">
        <w:rPr>
          <w:rFonts w:eastAsia="Times New Roman" w:cs="Times New Roman"/>
          <w:szCs w:val="24"/>
          <w:lang w:eastAsia="is-IS"/>
        </w:rPr>
        <w:t xml:space="preserve"> staðlar)</w:t>
      </w:r>
      <w:r>
        <w:rPr>
          <w:rFonts w:eastAsia="Times New Roman" w:cs="Times New Roman"/>
          <w:szCs w:val="24"/>
          <w:lang w:eastAsia="is-IS"/>
        </w:rPr>
        <w:t>, samkvæmt sérstökum lögum nr. 8/2005 um þriðju kynslóð farsíma. Síðan lögin voru sett á s</w:t>
      </w:r>
      <w:r w:rsidR="001E4672">
        <w:rPr>
          <w:rFonts w:eastAsia="Times New Roman" w:cs="Times New Roman"/>
          <w:szCs w:val="24"/>
          <w:lang w:eastAsia="is-IS"/>
        </w:rPr>
        <w:t>í</w:t>
      </w:r>
      <w:r>
        <w:rPr>
          <w:rFonts w:eastAsia="Times New Roman" w:cs="Times New Roman"/>
          <w:szCs w:val="24"/>
          <w:lang w:eastAsia="is-IS"/>
        </w:rPr>
        <w:t xml:space="preserve">num tíma hefur bæði orðið þróun í tækni og eftirspurn á tíðnisviðum fyrir farnetsþjónustur. Þannig er umrætt tíðnisvið ekki lengur frátekið fyrir þriðju kynslóð farsíma innan Evrópu, heldur hefur það verið gert </w:t>
      </w:r>
      <w:r w:rsidRPr="00F72789">
        <w:rPr>
          <w:rFonts w:eastAsia="Times New Roman" w:cs="Times New Roman"/>
          <w:i/>
          <w:szCs w:val="24"/>
          <w:lang w:eastAsia="is-IS"/>
        </w:rPr>
        <w:t>tæknilega hlutlaust</w:t>
      </w:r>
      <w:r>
        <w:rPr>
          <w:rFonts w:eastAsia="Times New Roman" w:cs="Times New Roman"/>
          <w:szCs w:val="24"/>
          <w:lang w:eastAsia="is-IS"/>
        </w:rPr>
        <w:t xml:space="preserve">, m.a. til að koma til móts við aukna eftirspurn </w:t>
      </w:r>
      <w:r w:rsidR="00F72789">
        <w:rPr>
          <w:rFonts w:eastAsia="Times New Roman" w:cs="Times New Roman"/>
          <w:szCs w:val="24"/>
          <w:lang w:eastAsia="is-IS"/>
        </w:rPr>
        <w:t xml:space="preserve">á </w:t>
      </w:r>
      <w:r>
        <w:rPr>
          <w:rFonts w:eastAsia="Times New Roman" w:cs="Times New Roman"/>
          <w:szCs w:val="24"/>
          <w:lang w:eastAsia="is-IS"/>
        </w:rPr>
        <w:t xml:space="preserve">tíðnisviði fyrir fjórðu kynslóð farnetsþjónustu. </w:t>
      </w:r>
      <w:r w:rsidR="001A41C9">
        <w:rPr>
          <w:rFonts w:eastAsia="Times New Roman" w:cs="Times New Roman"/>
          <w:szCs w:val="24"/>
          <w:lang w:eastAsia="is-IS"/>
        </w:rPr>
        <w:t xml:space="preserve">Lög nr. 8/2005 um þriðju kynslóð farsíma binda </w:t>
      </w:r>
      <w:r w:rsidR="001E4672">
        <w:rPr>
          <w:rFonts w:eastAsia="Times New Roman" w:cs="Times New Roman"/>
          <w:szCs w:val="24"/>
          <w:lang w:eastAsia="is-IS"/>
        </w:rPr>
        <w:t xml:space="preserve">hins vegar </w:t>
      </w:r>
      <w:r w:rsidR="001A41C9">
        <w:rPr>
          <w:rFonts w:eastAsia="Times New Roman" w:cs="Times New Roman"/>
          <w:szCs w:val="24"/>
          <w:lang w:eastAsia="is-IS"/>
        </w:rPr>
        <w:t>nýtingu tíðnisviðsins við eldri tækni í farnetsþjónustu og mæla fyrir um sérstaka málsmeðferð og tiltekin skilyrði fyrir úthlutun tíðniheimilda, sem í dag þykja ekki þjóna tilgangi sínum. Til að hægt sé að nýta og úthluta með skynsamlegum hætti þ</w:t>
      </w:r>
      <w:r w:rsidR="00FE349D">
        <w:rPr>
          <w:rFonts w:eastAsia="Times New Roman" w:cs="Times New Roman"/>
          <w:szCs w:val="24"/>
          <w:lang w:eastAsia="is-IS"/>
        </w:rPr>
        <w:t>ær tíðnir,</w:t>
      </w:r>
      <w:r w:rsidR="001A41C9">
        <w:rPr>
          <w:rFonts w:eastAsia="Times New Roman" w:cs="Times New Roman"/>
          <w:szCs w:val="24"/>
          <w:lang w:eastAsia="is-IS"/>
        </w:rPr>
        <w:t xml:space="preserve"> </w:t>
      </w:r>
      <w:r>
        <w:rPr>
          <w:rFonts w:eastAsia="Times New Roman" w:cs="Times New Roman"/>
          <w:szCs w:val="24"/>
          <w:lang w:eastAsia="is-IS"/>
        </w:rPr>
        <w:t>sem enn</w:t>
      </w:r>
      <w:r w:rsidR="001A41C9">
        <w:rPr>
          <w:rFonts w:eastAsia="Times New Roman" w:cs="Times New Roman"/>
          <w:szCs w:val="24"/>
          <w:lang w:eastAsia="is-IS"/>
        </w:rPr>
        <w:t xml:space="preserve"> </w:t>
      </w:r>
      <w:r>
        <w:rPr>
          <w:rFonts w:eastAsia="Times New Roman" w:cs="Times New Roman"/>
          <w:szCs w:val="24"/>
          <w:lang w:eastAsia="is-IS"/>
        </w:rPr>
        <w:t>er</w:t>
      </w:r>
      <w:r w:rsidR="00FE349D">
        <w:rPr>
          <w:rFonts w:eastAsia="Times New Roman" w:cs="Times New Roman"/>
          <w:szCs w:val="24"/>
          <w:lang w:eastAsia="is-IS"/>
        </w:rPr>
        <w:t>u</w:t>
      </w:r>
      <w:r>
        <w:rPr>
          <w:rFonts w:eastAsia="Times New Roman" w:cs="Times New Roman"/>
          <w:szCs w:val="24"/>
          <w:lang w:eastAsia="is-IS"/>
        </w:rPr>
        <w:t xml:space="preserve"> laus</w:t>
      </w:r>
      <w:r w:rsidR="00FE349D">
        <w:rPr>
          <w:rFonts w:eastAsia="Times New Roman" w:cs="Times New Roman"/>
          <w:szCs w:val="24"/>
          <w:lang w:eastAsia="is-IS"/>
        </w:rPr>
        <w:t>ar</w:t>
      </w:r>
      <w:r>
        <w:rPr>
          <w:rFonts w:eastAsia="Times New Roman" w:cs="Times New Roman"/>
          <w:szCs w:val="24"/>
          <w:lang w:eastAsia="is-IS"/>
        </w:rPr>
        <w:t xml:space="preserve"> til ráðstöfunar á 2100 MHz tíðnisviðinu, er nauðsynlegt fella úr gildi </w:t>
      </w:r>
      <w:r w:rsidR="001A41C9">
        <w:rPr>
          <w:rFonts w:eastAsia="Times New Roman" w:cs="Times New Roman"/>
          <w:szCs w:val="24"/>
          <w:lang w:eastAsia="is-IS"/>
        </w:rPr>
        <w:t>umrædd lög nr. 8/2005 um þriðju kynslóð farsíma.</w:t>
      </w:r>
    </w:p>
    <w:p w:rsidR="006F12BC" w:rsidRDefault="006F12BC" w:rsidP="00FE66B8">
      <w:pPr>
        <w:rPr>
          <w:rFonts w:eastAsia="Times New Roman" w:cs="Times New Roman"/>
          <w:szCs w:val="24"/>
          <w:lang w:eastAsia="is-IS"/>
        </w:rPr>
      </w:pPr>
    </w:p>
    <w:p w:rsidR="006F12BC" w:rsidRDefault="006F12BC" w:rsidP="00FE66B8">
      <w:pPr>
        <w:rPr>
          <w:rFonts w:eastAsia="Times New Roman" w:cs="Times New Roman"/>
          <w:szCs w:val="24"/>
          <w:lang w:eastAsia="is-IS"/>
        </w:rPr>
      </w:pPr>
      <w:r>
        <w:rPr>
          <w:rFonts w:eastAsia="Times New Roman" w:cs="Times New Roman"/>
          <w:szCs w:val="24"/>
          <w:lang w:eastAsia="is-IS"/>
        </w:rPr>
        <w:t xml:space="preserve">Frumvarp þetta er samið </w:t>
      </w:r>
      <w:r w:rsidR="00F64363">
        <w:rPr>
          <w:rFonts w:eastAsia="Times New Roman" w:cs="Times New Roman"/>
          <w:szCs w:val="24"/>
          <w:lang w:eastAsia="is-IS"/>
        </w:rPr>
        <w:t xml:space="preserve">í  innanríkisráðuneytinu. Vinnsla frumvarpsins fór fram í samráði við Póst- og fjarskiptastofnun. </w:t>
      </w:r>
      <w:r w:rsidR="005448C0">
        <w:rPr>
          <w:rFonts w:eastAsia="Times New Roman" w:cs="Times New Roman"/>
          <w:szCs w:val="24"/>
          <w:lang w:eastAsia="is-IS"/>
        </w:rPr>
        <w:t xml:space="preserve">Þá </w:t>
      </w:r>
      <w:r w:rsidR="00F64363">
        <w:rPr>
          <w:rFonts w:eastAsia="Times New Roman" w:cs="Times New Roman"/>
          <w:szCs w:val="24"/>
          <w:lang w:eastAsia="is-IS"/>
        </w:rPr>
        <w:t xml:space="preserve">voru </w:t>
      </w:r>
      <w:r w:rsidR="005448C0">
        <w:rPr>
          <w:rFonts w:eastAsia="Times New Roman" w:cs="Times New Roman"/>
          <w:szCs w:val="24"/>
          <w:lang w:eastAsia="is-IS"/>
        </w:rPr>
        <w:t xml:space="preserve">frumvarpsdrögin </w:t>
      </w:r>
      <w:r w:rsidR="00F64363">
        <w:rPr>
          <w:rFonts w:eastAsia="Times New Roman" w:cs="Times New Roman"/>
          <w:szCs w:val="24"/>
          <w:lang w:eastAsia="is-IS"/>
        </w:rPr>
        <w:t xml:space="preserve">sett í </w:t>
      </w:r>
      <w:r w:rsidR="005448C0">
        <w:rPr>
          <w:rFonts w:eastAsia="Times New Roman" w:cs="Times New Roman"/>
          <w:szCs w:val="24"/>
          <w:lang w:eastAsia="is-IS"/>
        </w:rPr>
        <w:t xml:space="preserve">opið samráð við hagsmunaaðila í samræmi við verklagsreglur ráðuneytisins þar um. </w:t>
      </w:r>
      <w:r w:rsidR="00667740">
        <w:rPr>
          <w:rFonts w:eastAsia="Times New Roman" w:cs="Times New Roman"/>
          <w:szCs w:val="24"/>
          <w:lang w:eastAsia="is-IS"/>
        </w:rPr>
        <w:t xml:space="preserve">Þá var efni frumvarpsins kynnt á fundi </w:t>
      </w:r>
      <w:r w:rsidR="00667740" w:rsidRPr="00667740">
        <w:rPr>
          <w:rFonts w:eastAsia="Times New Roman" w:cs="Times New Roman"/>
          <w:szCs w:val="24"/>
          <w:lang w:eastAsia="is-IS"/>
        </w:rPr>
        <w:t>f</w:t>
      </w:r>
      <w:r w:rsidR="00F64363" w:rsidRPr="00667740">
        <w:rPr>
          <w:rFonts w:eastAsia="Times New Roman" w:cs="Times New Roman"/>
          <w:szCs w:val="24"/>
          <w:lang w:eastAsia="is-IS"/>
        </w:rPr>
        <w:t>agráð</w:t>
      </w:r>
      <w:r w:rsidR="00667740" w:rsidRPr="00667740">
        <w:rPr>
          <w:rFonts w:eastAsia="Times New Roman" w:cs="Times New Roman"/>
          <w:szCs w:val="24"/>
          <w:lang w:eastAsia="is-IS"/>
        </w:rPr>
        <w:t>s</w:t>
      </w:r>
      <w:r w:rsidR="00F64363" w:rsidRPr="00667740">
        <w:rPr>
          <w:rFonts w:eastAsia="Times New Roman" w:cs="Times New Roman"/>
          <w:szCs w:val="24"/>
          <w:lang w:eastAsia="is-IS"/>
        </w:rPr>
        <w:t xml:space="preserve"> um fjarskipti.</w:t>
      </w:r>
      <w:r>
        <w:rPr>
          <w:rFonts w:eastAsia="Times New Roman" w:cs="Times New Roman"/>
          <w:szCs w:val="24"/>
          <w:lang w:eastAsia="is-IS"/>
        </w:rPr>
        <w:t xml:space="preserve"> </w:t>
      </w:r>
    </w:p>
    <w:p w:rsidR="00FE66B8" w:rsidRPr="00473DED" w:rsidRDefault="00FE66B8" w:rsidP="00FE66B8">
      <w:pPr>
        <w:rPr>
          <w:rFonts w:eastAsia="Times New Roman" w:cs="Times New Roman"/>
          <w:szCs w:val="24"/>
          <w:lang w:eastAsia="is-IS"/>
        </w:rPr>
      </w:pPr>
    </w:p>
    <w:p w:rsidR="00FE66B8" w:rsidRDefault="00274C1A" w:rsidP="00231A1E">
      <w:pPr>
        <w:rPr>
          <w:rFonts w:eastAsia="Times New Roman" w:cs="Times New Roman"/>
          <w:b/>
          <w:bCs/>
          <w:szCs w:val="24"/>
          <w:lang w:eastAsia="is-IS"/>
        </w:rPr>
      </w:pPr>
      <w:r>
        <w:rPr>
          <w:rFonts w:eastAsia="Times New Roman" w:cs="Times New Roman"/>
          <w:b/>
          <w:bCs/>
          <w:szCs w:val="24"/>
          <w:lang w:eastAsia="is-IS"/>
        </w:rPr>
        <w:t>II</w:t>
      </w:r>
      <w:r w:rsidR="001A06D4" w:rsidRPr="001A06D4">
        <w:rPr>
          <w:rFonts w:eastAsia="Times New Roman" w:cs="Times New Roman"/>
          <w:b/>
          <w:bCs/>
          <w:szCs w:val="24"/>
          <w:lang w:eastAsia="is-IS"/>
        </w:rPr>
        <w:t xml:space="preserve">. </w:t>
      </w:r>
      <w:r>
        <w:rPr>
          <w:rFonts w:eastAsia="Times New Roman" w:cs="Times New Roman"/>
          <w:b/>
          <w:bCs/>
          <w:szCs w:val="24"/>
          <w:lang w:eastAsia="is-IS"/>
        </w:rPr>
        <w:t>Alþjólegt samstarf um nýtingu á 2100 MHz tíðnisviðinu.</w:t>
      </w:r>
    </w:p>
    <w:p w:rsidR="00FE66B8" w:rsidRPr="000D6816" w:rsidRDefault="00FE66B8" w:rsidP="00FE66B8">
      <w:pPr>
        <w:rPr>
          <w:rFonts w:eastAsia="Times New Roman" w:cs="Times New Roman"/>
          <w:bCs/>
          <w:i/>
          <w:szCs w:val="24"/>
          <w:lang w:eastAsia="is-IS"/>
        </w:rPr>
      </w:pPr>
      <w:r w:rsidRPr="000D6816">
        <w:rPr>
          <w:rFonts w:eastAsia="Times New Roman" w:cs="Times New Roman"/>
          <w:bCs/>
          <w:i/>
          <w:szCs w:val="24"/>
          <w:lang w:eastAsia="is-IS"/>
        </w:rPr>
        <w:t>2.1. Skilgreind notkun fyrir þriðju kynslóð farsíma</w:t>
      </w:r>
    </w:p>
    <w:p w:rsidR="009578FA" w:rsidRDefault="00E43ED3" w:rsidP="00FE66B8">
      <w:r>
        <w:rPr>
          <w:rFonts w:eastAsia="Times New Roman" w:cs="Times New Roman"/>
          <w:bCs/>
          <w:szCs w:val="24"/>
          <w:lang w:eastAsia="is-IS"/>
        </w:rPr>
        <w:lastRenderedPageBreak/>
        <w:t>Á alþjóða tíðniráðstefnu</w:t>
      </w:r>
      <w:r w:rsidR="001E4672">
        <w:rPr>
          <w:rFonts w:eastAsia="Times New Roman" w:cs="Times New Roman"/>
          <w:bCs/>
          <w:szCs w:val="24"/>
          <w:lang w:eastAsia="is-IS"/>
        </w:rPr>
        <w:t>nni</w:t>
      </w:r>
      <w:r>
        <w:rPr>
          <w:rFonts w:eastAsia="Times New Roman" w:cs="Times New Roman"/>
          <w:bCs/>
          <w:szCs w:val="24"/>
          <w:lang w:eastAsia="is-IS"/>
        </w:rPr>
        <w:t xml:space="preserve">, sem haldin var í Malaga </w:t>
      </w:r>
      <w:r w:rsidR="00D6156A">
        <w:rPr>
          <w:rFonts w:eastAsia="Times New Roman" w:cs="Times New Roman"/>
          <w:bCs/>
          <w:szCs w:val="24"/>
          <w:lang w:eastAsia="is-IS"/>
        </w:rPr>
        <w:t>á Spáni á vegum A</w:t>
      </w:r>
      <w:r>
        <w:rPr>
          <w:rFonts w:eastAsia="Times New Roman" w:cs="Times New Roman"/>
          <w:bCs/>
          <w:szCs w:val="24"/>
          <w:lang w:eastAsia="is-IS"/>
        </w:rPr>
        <w:t>lþjóða fjarskiptastofnun</w:t>
      </w:r>
      <w:r w:rsidR="00F64363">
        <w:rPr>
          <w:rFonts w:eastAsia="Times New Roman" w:cs="Times New Roman"/>
          <w:bCs/>
          <w:szCs w:val="24"/>
          <w:lang w:eastAsia="is-IS"/>
        </w:rPr>
        <w:t xml:space="preserve">arinnar </w:t>
      </w:r>
      <w:r>
        <w:rPr>
          <w:rFonts w:eastAsia="Times New Roman" w:cs="Times New Roman"/>
          <w:bCs/>
          <w:szCs w:val="24"/>
          <w:lang w:eastAsia="is-IS"/>
        </w:rPr>
        <w:t xml:space="preserve">(ITU) í febrúar </w:t>
      </w:r>
      <w:r w:rsidR="00D96AD5">
        <w:rPr>
          <w:rFonts w:eastAsia="Times New Roman" w:cs="Times New Roman"/>
          <w:bCs/>
          <w:szCs w:val="24"/>
          <w:lang w:eastAsia="is-IS"/>
        </w:rPr>
        <w:t xml:space="preserve">árið </w:t>
      </w:r>
      <w:r>
        <w:rPr>
          <w:rFonts w:eastAsia="Times New Roman" w:cs="Times New Roman"/>
          <w:bCs/>
          <w:szCs w:val="24"/>
          <w:lang w:eastAsia="is-IS"/>
        </w:rPr>
        <w:t xml:space="preserve">1992, voru fyrstu skref tekin </w:t>
      </w:r>
      <w:r w:rsidR="001E4672">
        <w:rPr>
          <w:rFonts w:eastAsia="Times New Roman" w:cs="Times New Roman"/>
          <w:bCs/>
          <w:szCs w:val="24"/>
          <w:lang w:eastAsia="is-IS"/>
        </w:rPr>
        <w:t xml:space="preserve">við </w:t>
      </w:r>
      <w:r w:rsidR="004771F7">
        <w:rPr>
          <w:rFonts w:eastAsia="Times New Roman" w:cs="Times New Roman"/>
          <w:bCs/>
          <w:szCs w:val="24"/>
          <w:lang w:eastAsia="is-IS"/>
        </w:rPr>
        <w:t>að skilgreina tiltekið tíðnisvið fyrir samræmda notkun vegna þriðju kynslóðar farsímaþjónustu, samkvæmt IMT-2000 staðli</w:t>
      </w:r>
      <w:r w:rsidR="00D96AD5">
        <w:rPr>
          <w:rFonts w:eastAsia="Times New Roman" w:cs="Times New Roman"/>
          <w:bCs/>
          <w:szCs w:val="24"/>
          <w:lang w:eastAsia="is-IS"/>
        </w:rPr>
        <w:t xml:space="preserve"> (UMTS staðall fellur þar undir)</w:t>
      </w:r>
      <w:r w:rsidR="004771F7">
        <w:rPr>
          <w:rFonts w:eastAsia="Times New Roman" w:cs="Times New Roman"/>
          <w:bCs/>
          <w:szCs w:val="24"/>
          <w:lang w:eastAsia="is-IS"/>
        </w:rPr>
        <w:t xml:space="preserve">. Um var að ræða tíðnisviðin </w:t>
      </w:r>
      <w:r w:rsidR="004771F7">
        <w:t>1885</w:t>
      </w:r>
      <w:r w:rsidR="001E4672">
        <w:t>-</w:t>
      </w:r>
      <w:r w:rsidR="004771F7">
        <w:t>2025 og 2110</w:t>
      </w:r>
      <w:r w:rsidR="001E4672">
        <w:t>-</w:t>
      </w:r>
      <w:r w:rsidR="004771F7">
        <w:t>2200</w:t>
      </w:r>
      <w:r w:rsidR="00D96AD5">
        <w:t xml:space="preserve"> MHz</w:t>
      </w:r>
      <w:r w:rsidR="004771F7">
        <w:t xml:space="preserve">. Var þá miðað við </w:t>
      </w:r>
      <w:r w:rsidR="009578FA">
        <w:t>að tíðnir á þessum tíðnisviðum yrðu lausar til ráðstöfunar og nýtingar fyrir þriðju kynslóð farsíma í kringum aldamótin 2000</w:t>
      </w:r>
      <w:r w:rsidR="004771F7">
        <w:t>.</w:t>
      </w:r>
    </w:p>
    <w:p w:rsidR="000D6816" w:rsidRDefault="000D6816" w:rsidP="00FE66B8"/>
    <w:p w:rsidR="00D11C5E" w:rsidRDefault="002545F4" w:rsidP="00FE66B8">
      <w:r>
        <w:t>Í framhaldi af þessu var hafist handa inn</w:t>
      </w:r>
      <w:r w:rsidR="00D6156A">
        <w:t>an</w:t>
      </w:r>
      <w:r>
        <w:t xml:space="preserve"> Evrópusambandsins </w:t>
      </w:r>
      <w:r w:rsidR="001E4672">
        <w:t xml:space="preserve">við </w:t>
      </w:r>
      <w:r>
        <w:t>að skilgreina tíðnisvið m</w:t>
      </w:r>
      <w:r w:rsidR="009578FA">
        <w:t>eð tilliti til framangreindra alþjóðlegra skuldbindinga</w:t>
      </w:r>
      <w:r>
        <w:t xml:space="preserve">. Með ákvörðun ERC/DEC/(97)07 frá 30. júní 1997 var á vegum CEPT (e. European Conference of Postal and Telecommunications Administrations) ákveðið að tíðnisviðin 1900-1980, 2010-2025 og 2110-2170 </w:t>
      </w:r>
      <w:r w:rsidR="00D96AD5">
        <w:t xml:space="preserve">MHz </w:t>
      </w:r>
      <w:r>
        <w:t xml:space="preserve">skyldu vera frátekin fyrir þriðju kynslóð farsíma, </w:t>
      </w:r>
      <w:r w:rsidR="001E4672">
        <w:t xml:space="preserve">nánar til tekið </w:t>
      </w:r>
      <w:r>
        <w:t xml:space="preserve">samkvæmt staðlinum UMTS. </w:t>
      </w:r>
      <w:r w:rsidR="000A5249">
        <w:t>Með það að markmiði að taka upp þriðju kynslóðar farsímaþjónustu innan Evrópu fyrir árið 2002 var tekin ákvörðun af hálfu Evrópuþingsins og Ráðsins um samræm</w:t>
      </w:r>
      <w:r w:rsidR="003B5ADF">
        <w:t xml:space="preserve">da innleiðingu </w:t>
      </w:r>
      <w:r w:rsidR="000A5249">
        <w:t>á þ</w:t>
      </w:r>
      <w:r>
        <w:t xml:space="preserve">riðju kynslóð farsíma </w:t>
      </w:r>
      <w:r w:rsidR="000A5249">
        <w:t xml:space="preserve">nr. 128/1999/EB frá 14. desember 1998. Fjallaði sú ákvörðun um ýmis framkvæmdarleg atriði </w:t>
      </w:r>
      <w:r w:rsidR="00D96AD5">
        <w:t>sem þyrfti að samræma svo að þjónustan gæti hafist með heildstæðum og samhæfðum hætti í allri Evrópu, t.d. varðandi tilvísanir til krafna um tæknibúnað, fyrirkomulag</w:t>
      </w:r>
      <w:r w:rsidR="001E4672">
        <w:t xml:space="preserve"> leyfisveitinga</w:t>
      </w:r>
      <w:r w:rsidR="00D96AD5">
        <w:t xml:space="preserve"> og reikimál.</w:t>
      </w:r>
      <w:r w:rsidR="006F12BC">
        <w:t xml:space="preserve"> Tilgangur ákvörðunarinnar var að a</w:t>
      </w:r>
      <w:r w:rsidR="006F12BC" w:rsidRPr="001A06D4">
        <w:rPr>
          <w:rFonts w:eastAsia="Times New Roman" w:cs="Times New Roman"/>
          <w:szCs w:val="24"/>
          <w:lang w:eastAsia="is-IS"/>
        </w:rPr>
        <w:t xml:space="preserve">ðildarríki </w:t>
      </w:r>
      <w:r w:rsidR="006F12BC">
        <w:rPr>
          <w:rFonts w:eastAsia="Times New Roman" w:cs="Times New Roman"/>
          <w:szCs w:val="24"/>
          <w:lang w:eastAsia="is-IS"/>
        </w:rPr>
        <w:t xml:space="preserve">EES svæðisins skyldu </w:t>
      </w:r>
      <w:r w:rsidR="006F12BC" w:rsidRPr="001A06D4">
        <w:rPr>
          <w:rFonts w:eastAsia="Times New Roman" w:cs="Times New Roman"/>
          <w:szCs w:val="24"/>
          <w:lang w:eastAsia="is-IS"/>
        </w:rPr>
        <w:t>gera ráðstafanir sem trygg</w:t>
      </w:r>
      <w:r w:rsidR="006F12BC">
        <w:rPr>
          <w:rFonts w:eastAsia="Times New Roman" w:cs="Times New Roman"/>
          <w:szCs w:val="24"/>
          <w:lang w:eastAsia="is-IS"/>
        </w:rPr>
        <w:t xml:space="preserve">ðu </w:t>
      </w:r>
      <w:r w:rsidR="006F12BC" w:rsidRPr="001A06D4">
        <w:rPr>
          <w:rFonts w:eastAsia="Times New Roman" w:cs="Times New Roman"/>
          <w:szCs w:val="24"/>
          <w:lang w:eastAsia="is-IS"/>
        </w:rPr>
        <w:t>samhæft og framsækið framboð UMTS-þjónustu á þeirra yfirráðasvæði eigi síðar en 1. janúar 2002.</w:t>
      </w:r>
    </w:p>
    <w:p w:rsidR="00C53D7D" w:rsidRDefault="00C53D7D" w:rsidP="00FE66B8"/>
    <w:p w:rsidR="000D6816" w:rsidRDefault="00B8629A" w:rsidP="00FE66B8">
      <w:r>
        <w:t xml:space="preserve">Með lögum nr. 8/2005 um þriðju kynslóð farsíma voru þessi tilteknu tíðnisvið afmörkuð og sett um þau sérreglur varðandi úthlutun ofangreindra tíðnisviða. Tilgangurinn með lögunum </w:t>
      </w:r>
      <w:r w:rsidR="00D96AD5">
        <w:t xml:space="preserve">var </w:t>
      </w:r>
      <w:r w:rsidR="00FE66B8">
        <w:t xml:space="preserve">m.a. </w:t>
      </w:r>
      <w:r w:rsidR="00D96AD5">
        <w:t>að innleiða fram</w:t>
      </w:r>
      <w:r>
        <w:t>an</w:t>
      </w:r>
      <w:r w:rsidR="00D96AD5">
        <w:t>greindar</w:t>
      </w:r>
      <w:r w:rsidR="00FE66B8">
        <w:t xml:space="preserve"> skuldbindingar</w:t>
      </w:r>
      <w:r w:rsidR="000906E3">
        <w:t xml:space="preserve">, </w:t>
      </w:r>
      <w:r>
        <w:t xml:space="preserve">en </w:t>
      </w:r>
      <w:r w:rsidR="000906E3">
        <w:t>auk þess að ná tilteknum markmiðum</w:t>
      </w:r>
      <w:r w:rsidR="00FE66B8">
        <w:t xml:space="preserve">, </w:t>
      </w:r>
      <w:r>
        <w:t>varðandi</w:t>
      </w:r>
      <w:r w:rsidR="00FE66B8">
        <w:t xml:space="preserve"> gjaldtöku fyrir tíðniúthlutanir og útbreiðsluskilyrði þjónustunnar. Nú </w:t>
      </w:r>
      <w:r w:rsidR="003B5ADF">
        <w:t xml:space="preserve">eru </w:t>
      </w:r>
      <w:r w:rsidR="00FE66B8">
        <w:t xml:space="preserve">umræddar gerðir Evrópuþingsins og Ráðsins og CEPT hins vegar </w:t>
      </w:r>
      <w:r w:rsidR="003B5ADF">
        <w:t xml:space="preserve">úr gildi fallnar, m.a. </w:t>
      </w:r>
      <w:r w:rsidR="00FE66B8">
        <w:t xml:space="preserve">vegna tilkomu </w:t>
      </w:r>
      <w:r w:rsidR="000D6816">
        <w:t xml:space="preserve">fjórðu </w:t>
      </w:r>
      <w:r w:rsidR="00FE66B8">
        <w:t xml:space="preserve">kynslóðar farnetsþjónustu og fyrirsjáanlegar þarfar </w:t>
      </w:r>
      <w:r w:rsidR="003B5ADF">
        <w:t xml:space="preserve">á auknu </w:t>
      </w:r>
      <w:r w:rsidR="00FE66B8">
        <w:t>tíðnisvið</w:t>
      </w:r>
      <w:r w:rsidR="003B5ADF">
        <w:t>i</w:t>
      </w:r>
      <w:r w:rsidR="00FE66B8">
        <w:t xml:space="preserve"> </w:t>
      </w:r>
      <w:r w:rsidR="003B5ADF">
        <w:t xml:space="preserve">fyrir </w:t>
      </w:r>
      <w:r w:rsidR="00FE66B8">
        <w:t>næstu kynslóða farnetsþjónust</w:t>
      </w:r>
      <w:r w:rsidR="003B5ADF">
        <w:t>u</w:t>
      </w:r>
      <w:r w:rsidR="00FE66B8">
        <w:t xml:space="preserve">. Því er nauðsynlegt að fella úr gildi lög nr. 8/2005 um þriðju kynslóð farsíma svo að Ísland geti haldið í við tækniþróun og </w:t>
      </w:r>
      <w:r w:rsidR="003B5ADF">
        <w:t xml:space="preserve">uppfyllt </w:t>
      </w:r>
      <w:r w:rsidR="00FE66B8">
        <w:t xml:space="preserve">þarfir markaðarins </w:t>
      </w:r>
      <w:r w:rsidR="000906E3">
        <w:t xml:space="preserve">um </w:t>
      </w:r>
      <w:r w:rsidR="00FE66B8">
        <w:t>aðgang að tíðnisviðum fyrir næstu kynslóð</w:t>
      </w:r>
      <w:r w:rsidR="000D6816">
        <w:t xml:space="preserve"> farnetsþjónustu.</w:t>
      </w:r>
      <w:r>
        <w:t xml:space="preserve"> </w:t>
      </w:r>
    </w:p>
    <w:p w:rsidR="000D6816" w:rsidRDefault="000D6816" w:rsidP="00FE66B8"/>
    <w:p w:rsidR="00D96AD5" w:rsidRPr="000D6816" w:rsidRDefault="00AD3462" w:rsidP="00FE66B8">
      <w:pPr>
        <w:rPr>
          <w:rFonts w:eastAsia="Times New Roman" w:cs="Times New Roman"/>
          <w:bCs/>
          <w:i/>
          <w:szCs w:val="24"/>
          <w:lang w:eastAsia="is-IS"/>
        </w:rPr>
      </w:pPr>
      <w:r>
        <w:rPr>
          <w:i/>
        </w:rPr>
        <w:t xml:space="preserve">2.2. Þróun </w:t>
      </w:r>
      <w:r w:rsidR="000D6816" w:rsidRPr="000D6816">
        <w:rPr>
          <w:i/>
        </w:rPr>
        <w:t>tæknilegs hlutleysis</w:t>
      </w:r>
    </w:p>
    <w:p w:rsidR="00731C16" w:rsidRDefault="009A6313" w:rsidP="009A6313">
      <w:pPr>
        <w:rPr>
          <w:rFonts w:eastAsia="Times New Roman" w:cs="Times New Roman"/>
          <w:bCs/>
          <w:szCs w:val="24"/>
          <w:lang w:eastAsia="is-IS"/>
        </w:rPr>
      </w:pPr>
      <w:r>
        <w:rPr>
          <w:rFonts w:eastAsia="Times New Roman" w:cs="Times New Roman"/>
          <w:bCs/>
          <w:szCs w:val="24"/>
          <w:lang w:eastAsia="is-IS"/>
        </w:rPr>
        <w:t xml:space="preserve">Þráðlaus gagnflutningsþjónusta yfir farnet hefur aukist til muna síðustu ár. Fyrstu farsímakerfi buðu upp á litla sem </w:t>
      </w:r>
      <w:r w:rsidR="006B542C">
        <w:rPr>
          <w:rFonts w:eastAsia="Times New Roman" w:cs="Times New Roman"/>
          <w:bCs/>
          <w:szCs w:val="24"/>
          <w:lang w:eastAsia="is-IS"/>
        </w:rPr>
        <w:t xml:space="preserve">enga </w:t>
      </w:r>
      <w:r>
        <w:rPr>
          <w:rFonts w:eastAsia="Times New Roman" w:cs="Times New Roman"/>
          <w:bCs/>
          <w:szCs w:val="24"/>
          <w:lang w:eastAsia="is-IS"/>
        </w:rPr>
        <w:t>gangnaflutningsmöguleika og voru þau einkum hugsuð til að flytja símtöl. Með tækniþróun undafarinna</w:t>
      </w:r>
      <w:r w:rsidR="006B542C">
        <w:rPr>
          <w:rFonts w:eastAsia="Times New Roman" w:cs="Times New Roman"/>
          <w:bCs/>
          <w:szCs w:val="24"/>
          <w:lang w:eastAsia="is-IS"/>
        </w:rPr>
        <w:t xml:space="preserve"> ára </w:t>
      </w:r>
      <w:r>
        <w:rPr>
          <w:rFonts w:eastAsia="Times New Roman" w:cs="Times New Roman"/>
          <w:bCs/>
          <w:szCs w:val="24"/>
          <w:lang w:eastAsia="is-IS"/>
        </w:rPr>
        <w:t xml:space="preserve">hefur gagnaflutningsþáttur netanna </w:t>
      </w:r>
      <w:r w:rsidR="00414B42">
        <w:rPr>
          <w:rFonts w:eastAsia="Times New Roman" w:cs="Times New Roman"/>
          <w:bCs/>
          <w:szCs w:val="24"/>
          <w:lang w:eastAsia="is-IS"/>
        </w:rPr>
        <w:t xml:space="preserve">farið vaxandi. Sá gagnaflutningshraði sem almenn farnet bjóða upp á hefur orðið til þess að internetnotkun í gegnum farsíma </w:t>
      </w:r>
      <w:r w:rsidR="006B542C">
        <w:rPr>
          <w:rFonts w:eastAsia="Times New Roman" w:cs="Times New Roman"/>
          <w:bCs/>
          <w:szCs w:val="24"/>
          <w:lang w:eastAsia="is-IS"/>
        </w:rPr>
        <w:t xml:space="preserve">er </w:t>
      </w:r>
      <w:r w:rsidR="00414B42">
        <w:rPr>
          <w:rFonts w:eastAsia="Times New Roman" w:cs="Times New Roman"/>
          <w:bCs/>
          <w:szCs w:val="24"/>
          <w:lang w:eastAsia="is-IS"/>
        </w:rPr>
        <w:t xml:space="preserve">orðin almenn. Með því hefur aukist framboð </w:t>
      </w:r>
      <w:r w:rsidR="00F72789">
        <w:rPr>
          <w:rFonts w:eastAsia="Times New Roman" w:cs="Times New Roman"/>
          <w:bCs/>
          <w:szCs w:val="24"/>
          <w:lang w:eastAsia="is-IS"/>
        </w:rPr>
        <w:t xml:space="preserve">á </w:t>
      </w:r>
      <w:r w:rsidR="00414B42">
        <w:rPr>
          <w:rFonts w:eastAsia="Times New Roman" w:cs="Times New Roman"/>
          <w:bCs/>
          <w:szCs w:val="24"/>
          <w:lang w:eastAsia="is-IS"/>
        </w:rPr>
        <w:t xml:space="preserve">sérhæfðum þjónustum fyrir snjallsímanotendur sem kalla á meiri gagnaflutningshraða, t.d. ýmiskonar </w:t>
      </w:r>
      <w:r w:rsidR="006B542C">
        <w:rPr>
          <w:rFonts w:eastAsia="Times New Roman" w:cs="Times New Roman"/>
          <w:bCs/>
          <w:szCs w:val="24"/>
          <w:lang w:eastAsia="is-IS"/>
        </w:rPr>
        <w:t xml:space="preserve">miðlun </w:t>
      </w:r>
      <w:r w:rsidR="00414B42">
        <w:rPr>
          <w:rFonts w:eastAsia="Times New Roman" w:cs="Times New Roman"/>
          <w:bCs/>
          <w:szCs w:val="24"/>
          <w:lang w:eastAsia="is-IS"/>
        </w:rPr>
        <w:t>á myndefni</w:t>
      </w:r>
      <w:r w:rsidR="0049232C">
        <w:rPr>
          <w:rFonts w:eastAsia="Times New Roman" w:cs="Times New Roman"/>
          <w:bCs/>
          <w:szCs w:val="24"/>
          <w:lang w:eastAsia="is-IS"/>
        </w:rPr>
        <w:t xml:space="preserve"> og myndbandsbrotum</w:t>
      </w:r>
      <w:r w:rsidR="00414B42">
        <w:rPr>
          <w:rFonts w:eastAsia="Times New Roman" w:cs="Times New Roman"/>
          <w:bCs/>
          <w:szCs w:val="24"/>
          <w:lang w:eastAsia="is-IS"/>
        </w:rPr>
        <w:t>, t.d.</w:t>
      </w:r>
      <w:r w:rsidR="0049232C">
        <w:rPr>
          <w:rFonts w:eastAsia="Times New Roman" w:cs="Times New Roman"/>
          <w:bCs/>
          <w:szCs w:val="24"/>
          <w:lang w:eastAsia="is-IS"/>
        </w:rPr>
        <w:t xml:space="preserve"> </w:t>
      </w:r>
      <w:r w:rsidR="006B542C">
        <w:rPr>
          <w:rFonts w:eastAsia="Times New Roman" w:cs="Times New Roman"/>
          <w:bCs/>
          <w:szCs w:val="24"/>
          <w:lang w:eastAsia="is-IS"/>
        </w:rPr>
        <w:t xml:space="preserve">með </w:t>
      </w:r>
      <w:r w:rsidR="0049232C">
        <w:rPr>
          <w:rFonts w:eastAsia="Times New Roman" w:cs="Times New Roman"/>
          <w:bCs/>
          <w:szCs w:val="24"/>
          <w:lang w:eastAsia="is-IS"/>
        </w:rPr>
        <w:t xml:space="preserve">Snap Chat, Instagram og Facebook. </w:t>
      </w:r>
      <w:r w:rsidR="000444C1">
        <w:rPr>
          <w:rFonts w:eastAsia="Times New Roman" w:cs="Times New Roman"/>
          <w:bCs/>
          <w:szCs w:val="24"/>
          <w:lang w:eastAsia="is-IS"/>
        </w:rPr>
        <w:t>Þá má einnig ætla að þróun á háhraða farnetsþjónustu, svo sem 4G og 4G-Advanced, leiði til þess að slík þjónusta verði megin þjónustuleið fyrir heimili í landinu. Slíkt kallar á enn meiri gagnaflutningshraða m.a. til veitingar sjónvarpsþjónustu. Þessi s</w:t>
      </w:r>
      <w:r w:rsidR="0049232C">
        <w:rPr>
          <w:rFonts w:eastAsia="Times New Roman" w:cs="Times New Roman"/>
          <w:bCs/>
          <w:szCs w:val="24"/>
          <w:lang w:eastAsia="is-IS"/>
        </w:rPr>
        <w:t>íaukn</w:t>
      </w:r>
      <w:r w:rsidR="000444C1">
        <w:rPr>
          <w:rFonts w:eastAsia="Times New Roman" w:cs="Times New Roman"/>
          <w:bCs/>
          <w:szCs w:val="24"/>
          <w:lang w:eastAsia="is-IS"/>
        </w:rPr>
        <w:t>a</w:t>
      </w:r>
      <w:r w:rsidR="0049232C">
        <w:rPr>
          <w:rFonts w:eastAsia="Times New Roman" w:cs="Times New Roman"/>
          <w:bCs/>
          <w:szCs w:val="24"/>
          <w:lang w:eastAsia="is-IS"/>
        </w:rPr>
        <w:t xml:space="preserve"> krafa um gagnaflutningshraða hefur kallað á meiri bandbreidd í tíðnirófinu, þ.e. nýta þarf stærri tíðnisvið til þess að taka við vaxandi gagnamagni á auknum hraða. Samkvæmt tölfræðiupplýsingum frá Póst- og fjarskiptastofnun hefur gagnamagn </w:t>
      </w:r>
      <w:r w:rsidR="00731C16">
        <w:rPr>
          <w:rFonts w:eastAsia="Times New Roman" w:cs="Times New Roman"/>
          <w:bCs/>
          <w:szCs w:val="24"/>
          <w:lang w:eastAsia="is-IS"/>
        </w:rPr>
        <w:t xml:space="preserve">yfir farnet farið ört vaxandi undanfarin ár, eins og </w:t>
      </w:r>
      <w:r w:rsidR="000444C1">
        <w:rPr>
          <w:rFonts w:eastAsia="Times New Roman" w:cs="Times New Roman"/>
          <w:bCs/>
          <w:szCs w:val="24"/>
          <w:lang w:eastAsia="is-IS"/>
        </w:rPr>
        <w:t xml:space="preserve">myndin </w:t>
      </w:r>
      <w:r w:rsidR="006B542C">
        <w:rPr>
          <w:rFonts w:eastAsia="Times New Roman" w:cs="Times New Roman"/>
          <w:bCs/>
          <w:szCs w:val="24"/>
          <w:lang w:eastAsia="is-IS"/>
        </w:rPr>
        <w:t>hér að neðan</w:t>
      </w:r>
      <w:r w:rsidR="00731C16">
        <w:rPr>
          <w:rFonts w:eastAsia="Times New Roman" w:cs="Times New Roman"/>
          <w:bCs/>
          <w:szCs w:val="24"/>
          <w:lang w:eastAsia="is-IS"/>
        </w:rPr>
        <w:t xml:space="preserve"> ber með sér:</w:t>
      </w:r>
    </w:p>
    <w:p w:rsidR="00A31D01" w:rsidRDefault="00A31D01" w:rsidP="009A6313">
      <w:pPr>
        <w:rPr>
          <w:rFonts w:eastAsia="Times New Roman" w:cs="Times New Roman"/>
          <w:bCs/>
          <w:szCs w:val="24"/>
          <w:lang w:eastAsia="is-IS"/>
        </w:rPr>
      </w:pPr>
    </w:p>
    <w:p w:rsidR="00731C16" w:rsidRDefault="00A31D01" w:rsidP="009A6313">
      <w:pPr>
        <w:rPr>
          <w:rFonts w:eastAsia="Times New Roman" w:cs="Times New Roman"/>
          <w:bCs/>
          <w:szCs w:val="24"/>
          <w:lang w:eastAsia="is-IS"/>
        </w:rPr>
      </w:pPr>
      <w:r w:rsidRPr="007071A9">
        <w:rPr>
          <w:noProof/>
          <w:lang w:eastAsia="is-IS"/>
        </w:rPr>
        <w:lastRenderedPageBreak/>
        <w:drawing>
          <wp:inline distT="0" distB="0" distL="0" distR="0" wp14:anchorId="3F441F2D" wp14:editId="336CE8C0">
            <wp:extent cx="5760083" cy="230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369" cy="2318595"/>
                    </a:xfrm>
                    <a:prstGeom prst="rect">
                      <a:avLst/>
                    </a:prstGeom>
                    <a:noFill/>
                    <a:ln>
                      <a:noFill/>
                    </a:ln>
                  </pic:spPr>
                </pic:pic>
              </a:graphicData>
            </a:graphic>
          </wp:inline>
        </w:drawing>
      </w:r>
    </w:p>
    <w:p w:rsidR="00731C16" w:rsidRDefault="00731C16" w:rsidP="009A6313">
      <w:pPr>
        <w:rPr>
          <w:rFonts w:eastAsia="Times New Roman" w:cs="Times New Roman"/>
          <w:bCs/>
          <w:szCs w:val="24"/>
          <w:lang w:eastAsia="is-IS"/>
        </w:rPr>
      </w:pPr>
    </w:p>
    <w:p w:rsidR="00F72789" w:rsidRDefault="00731C16" w:rsidP="009A6313">
      <w:pPr>
        <w:rPr>
          <w:rFonts w:eastAsia="Times New Roman" w:cs="Times New Roman"/>
          <w:bCs/>
          <w:szCs w:val="24"/>
          <w:lang w:eastAsia="is-IS"/>
        </w:rPr>
      </w:pPr>
      <w:r>
        <w:rPr>
          <w:rFonts w:eastAsia="Times New Roman" w:cs="Times New Roman"/>
          <w:bCs/>
          <w:szCs w:val="24"/>
          <w:lang w:eastAsia="is-IS"/>
        </w:rPr>
        <w:t xml:space="preserve">Til þess að mæta aukinni þörf á tíðnisviðum fyrir farnetsþjónustur hefur farið fram talsverð vinna innan Evrópu og á alþjóðavísu </w:t>
      </w:r>
      <w:r w:rsidR="00B07DFF">
        <w:rPr>
          <w:rFonts w:eastAsia="Times New Roman" w:cs="Times New Roman"/>
          <w:bCs/>
          <w:szCs w:val="24"/>
          <w:lang w:eastAsia="is-IS"/>
        </w:rPr>
        <w:t xml:space="preserve">við </w:t>
      </w:r>
      <w:r>
        <w:rPr>
          <w:rFonts w:eastAsia="Times New Roman" w:cs="Times New Roman"/>
          <w:bCs/>
          <w:szCs w:val="24"/>
          <w:lang w:eastAsia="is-IS"/>
        </w:rPr>
        <w:t>að samræma nýtingu á tíðnisviðum til notkunar fyrir farnetsþjónustur</w:t>
      </w:r>
      <w:r w:rsidR="00A31D01">
        <w:rPr>
          <w:rFonts w:eastAsia="Times New Roman" w:cs="Times New Roman"/>
          <w:bCs/>
          <w:szCs w:val="24"/>
          <w:lang w:eastAsia="is-IS"/>
        </w:rPr>
        <w:t xml:space="preserve">. Sú vinna hefur m.a. miðað að því að færa nýtingu fyrir annars konar þjónustur yfir á önnur tíðnisvið og að gera þau tíðnisvið sem þegar eru til staðar fyrir farnetsþjónustur </w:t>
      </w:r>
      <w:r w:rsidR="00A31D01" w:rsidRPr="00A31D01">
        <w:rPr>
          <w:rFonts w:eastAsia="Times New Roman" w:cs="Times New Roman"/>
          <w:bCs/>
          <w:i/>
          <w:szCs w:val="24"/>
          <w:lang w:eastAsia="is-IS"/>
        </w:rPr>
        <w:t>tæknilega hlutlaus</w:t>
      </w:r>
      <w:r w:rsidR="00A31D01">
        <w:rPr>
          <w:rFonts w:eastAsia="Times New Roman" w:cs="Times New Roman"/>
          <w:bCs/>
          <w:szCs w:val="24"/>
          <w:lang w:eastAsia="is-IS"/>
        </w:rPr>
        <w:t>, eins og það er orðað. Með tæknilegu hlutleysi er átt við að tíðnisvið fyrir farnetsþjónustu séu ekki bundin tiltekinni tækni eð</w:t>
      </w:r>
      <w:r w:rsidR="00B07DFF">
        <w:rPr>
          <w:rFonts w:eastAsia="Times New Roman" w:cs="Times New Roman"/>
          <w:bCs/>
          <w:szCs w:val="24"/>
          <w:lang w:eastAsia="is-IS"/>
        </w:rPr>
        <w:t>a</w:t>
      </w:r>
      <w:r w:rsidR="00A31D01">
        <w:rPr>
          <w:rFonts w:eastAsia="Times New Roman" w:cs="Times New Roman"/>
          <w:bCs/>
          <w:szCs w:val="24"/>
          <w:lang w:eastAsia="is-IS"/>
        </w:rPr>
        <w:t xml:space="preserve"> stöðlum</w:t>
      </w:r>
      <w:r w:rsidR="00B07DFF">
        <w:rPr>
          <w:rFonts w:eastAsia="Times New Roman" w:cs="Times New Roman"/>
          <w:bCs/>
          <w:szCs w:val="24"/>
          <w:lang w:eastAsia="is-IS"/>
        </w:rPr>
        <w:t>, eins og á við um lög nr. 8/2005 sem bindur nýtingu á 2100 MHz tíðnisviðinu við farnetsþjónustu samkvæmt UMTS staðli (þriðju kynslóðar farsímaþjónustu)</w:t>
      </w:r>
      <w:r w:rsidR="00A31D01">
        <w:rPr>
          <w:rFonts w:eastAsia="Times New Roman" w:cs="Times New Roman"/>
          <w:bCs/>
          <w:szCs w:val="24"/>
          <w:lang w:eastAsia="is-IS"/>
        </w:rPr>
        <w:t xml:space="preserve">. Nýting tíðnisviðanna getur því haldist í hendur við hagkvæmustu tækni hverju sinni. </w:t>
      </w:r>
    </w:p>
    <w:p w:rsidR="00F72789" w:rsidRDefault="00F72789" w:rsidP="009A6313">
      <w:pPr>
        <w:rPr>
          <w:rFonts w:eastAsia="Times New Roman" w:cs="Times New Roman"/>
          <w:bCs/>
          <w:szCs w:val="24"/>
          <w:lang w:eastAsia="is-IS"/>
        </w:rPr>
      </w:pPr>
    </w:p>
    <w:p w:rsidR="00731C16" w:rsidRDefault="00A31D01" w:rsidP="008932D4">
      <w:pPr>
        <w:rPr>
          <w:rFonts w:eastAsia="Times New Roman" w:cs="Times New Roman"/>
          <w:bCs/>
          <w:szCs w:val="24"/>
          <w:lang w:eastAsia="is-IS"/>
        </w:rPr>
      </w:pPr>
      <w:r>
        <w:rPr>
          <w:rFonts w:eastAsia="Times New Roman" w:cs="Times New Roman"/>
          <w:bCs/>
          <w:szCs w:val="24"/>
          <w:lang w:eastAsia="is-IS"/>
        </w:rPr>
        <w:t>Á síðustu árum hafa því komið fram ákvarðanir í evrópsku og alþjóðlegu samstarfi um tíðnimál sem hafa fellt úr gildi fyrri samræmingar</w:t>
      </w:r>
      <w:r w:rsidR="00B07DFF">
        <w:rPr>
          <w:rFonts w:eastAsia="Times New Roman" w:cs="Times New Roman"/>
          <w:bCs/>
          <w:szCs w:val="24"/>
          <w:lang w:eastAsia="is-IS"/>
        </w:rPr>
        <w:t>ákvarðanir sem vísað var til fyrri kafla, þ.á.m. fyrir 2100</w:t>
      </w:r>
      <w:r w:rsidR="001E0ACC">
        <w:rPr>
          <w:rFonts w:eastAsia="Times New Roman" w:cs="Times New Roman"/>
          <w:bCs/>
          <w:szCs w:val="24"/>
          <w:lang w:eastAsia="is-IS"/>
        </w:rPr>
        <w:t xml:space="preserve"> MHz tíðnisviðið. Með ákvörðun </w:t>
      </w:r>
      <w:r w:rsidR="00B07DFF">
        <w:rPr>
          <w:rFonts w:eastAsia="Times New Roman" w:cs="Times New Roman"/>
          <w:bCs/>
          <w:szCs w:val="24"/>
          <w:lang w:eastAsia="is-IS"/>
        </w:rPr>
        <w:t xml:space="preserve">ECC (e. Electronic Communications Committee) nr. (12)01 frá 1. júní 2012 </w:t>
      </w:r>
      <w:r w:rsidR="001E0ACC">
        <w:rPr>
          <w:rFonts w:eastAsia="Times New Roman" w:cs="Times New Roman"/>
          <w:bCs/>
          <w:szCs w:val="24"/>
          <w:lang w:eastAsia="is-IS"/>
        </w:rPr>
        <w:t xml:space="preserve">á vegum CEPT, </w:t>
      </w:r>
      <w:r w:rsidR="00B07DFF">
        <w:rPr>
          <w:rFonts w:eastAsia="Times New Roman" w:cs="Times New Roman"/>
          <w:bCs/>
          <w:szCs w:val="24"/>
          <w:lang w:eastAsia="is-IS"/>
        </w:rPr>
        <w:t>og innleiðingarákvörðun framkvæmdastjórnar ESB 2012/688/EB frá 5. nóvember 2012 hefur 2100 MHz tíðnisviðið verið skil</w:t>
      </w:r>
      <w:r w:rsidR="001E0ACC">
        <w:rPr>
          <w:rFonts w:eastAsia="Times New Roman" w:cs="Times New Roman"/>
          <w:bCs/>
          <w:szCs w:val="24"/>
          <w:lang w:eastAsia="is-IS"/>
        </w:rPr>
        <w:t>greint sem tæknilega hlutla</w:t>
      </w:r>
      <w:r w:rsidR="008932D4">
        <w:rPr>
          <w:rFonts w:eastAsia="Times New Roman" w:cs="Times New Roman"/>
          <w:bCs/>
          <w:szCs w:val="24"/>
          <w:lang w:eastAsia="is-IS"/>
        </w:rPr>
        <w:t xml:space="preserve">ust. Til að tryggja samræmi við þessar alþjóðlegu skuldbindingar er nauðsynlegt að fella úr gildi </w:t>
      </w:r>
      <w:r w:rsidR="00B07DFF">
        <w:rPr>
          <w:rFonts w:eastAsia="Times New Roman" w:cs="Times New Roman"/>
          <w:bCs/>
          <w:szCs w:val="24"/>
          <w:lang w:eastAsia="is-IS"/>
        </w:rPr>
        <w:t>lög nr. 8/2005 um þriðju kynslóð farsíma</w:t>
      </w:r>
      <w:r w:rsidR="008932D4">
        <w:rPr>
          <w:rFonts w:eastAsia="Times New Roman" w:cs="Times New Roman"/>
          <w:bCs/>
          <w:szCs w:val="24"/>
          <w:lang w:eastAsia="is-IS"/>
        </w:rPr>
        <w:t xml:space="preserve">. </w:t>
      </w:r>
      <w:r w:rsidR="00731C16" w:rsidRPr="00A31D01">
        <w:rPr>
          <w:rFonts w:eastAsia="Times New Roman" w:cs="Times New Roman"/>
          <w:bCs/>
          <w:szCs w:val="24"/>
          <w:lang w:eastAsia="is-IS"/>
        </w:rPr>
        <w:t xml:space="preserve"> </w:t>
      </w:r>
    </w:p>
    <w:p w:rsidR="00D11C5E" w:rsidRPr="009A6313" w:rsidRDefault="00D11C5E" w:rsidP="009A6313">
      <w:pPr>
        <w:rPr>
          <w:rFonts w:eastAsia="Times New Roman" w:cs="Times New Roman"/>
          <w:bCs/>
          <w:szCs w:val="24"/>
          <w:lang w:eastAsia="is-IS"/>
        </w:rPr>
      </w:pPr>
    </w:p>
    <w:p w:rsidR="008A6466" w:rsidRDefault="00274C1A" w:rsidP="008A6466">
      <w:pPr>
        <w:rPr>
          <w:rFonts w:eastAsia="Times New Roman" w:cs="Times New Roman"/>
          <w:bCs/>
          <w:szCs w:val="24"/>
          <w:lang w:eastAsia="is-IS"/>
        </w:rPr>
      </w:pPr>
      <w:r>
        <w:rPr>
          <w:rFonts w:eastAsia="Times New Roman" w:cs="Times New Roman"/>
          <w:b/>
          <w:bCs/>
          <w:szCs w:val="24"/>
          <w:lang w:eastAsia="is-IS"/>
        </w:rPr>
        <w:t>III. Núverandi nýting á 2100 MHz tíðnisviðinu hér á landi.</w:t>
      </w:r>
    </w:p>
    <w:p w:rsidR="00692B99" w:rsidRPr="00692B99" w:rsidRDefault="00692B99" w:rsidP="00692B99">
      <w:pPr>
        <w:rPr>
          <w:rFonts w:eastAsia="Times New Roman" w:cs="Times New Roman"/>
          <w:bCs/>
          <w:i/>
          <w:szCs w:val="24"/>
          <w:lang w:eastAsia="is-IS"/>
        </w:rPr>
      </w:pPr>
      <w:r w:rsidRPr="00692B99">
        <w:rPr>
          <w:rFonts w:eastAsia="Times New Roman" w:cs="Times New Roman"/>
          <w:bCs/>
          <w:i/>
          <w:szCs w:val="24"/>
          <w:lang w:eastAsia="is-IS"/>
        </w:rPr>
        <w:t>3.1. Tíðniheimildir eru skilyrt réttindi til afnota af auðlind</w:t>
      </w:r>
    </w:p>
    <w:p w:rsidR="00692B99" w:rsidRDefault="00692B99" w:rsidP="00692B99">
      <w:pPr>
        <w:rPr>
          <w:rFonts w:eastAsia="Times New Roman" w:cs="Times New Roman"/>
          <w:bCs/>
          <w:szCs w:val="24"/>
          <w:lang w:eastAsia="is-IS"/>
        </w:rPr>
      </w:pPr>
      <w:r>
        <w:rPr>
          <w:rFonts w:eastAsia="Times New Roman" w:cs="Times New Roman"/>
          <w:bCs/>
          <w:szCs w:val="24"/>
          <w:lang w:eastAsia="is-IS"/>
        </w:rPr>
        <w:t>Fjarskiptatíðnir innan íslensks yfirráðasvæðis eru auðlindir undir stjórn íslens</w:t>
      </w:r>
      <w:r w:rsidR="008932D4">
        <w:rPr>
          <w:rFonts w:eastAsia="Times New Roman" w:cs="Times New Roman"/>
          <w:bCs/>
          <w:szCs w:val="24"/>
          <w:lang w:eastAsia="is-IS"/>
        </w:rPr>
        <w:t>k</w:t>
      </w:r>
      <w:r>
        <w:rPr>
          <w:rFonts w:eastAsia="Times New Roman" w:cs="Times New Roman"/>
          <w:bCs/>
          <w:szCs w:val="24"/>
          <w:lang w:eastAsia="is-IS"/>
        </w:rPr>
        <w:t>a ríkisins og felur úthlutun á þeim í sér tímabundna heimild til skilyrta afnota sem hvorki leiðir til eignarréttar eða varanlegs nýtingar- eða ráðstöfunarréttar hlutaðeigandi tíðnirétthafa, sbr. 1. mgr. 7. gr. fjarskiptalaga nr. 81/2003. Þannig leiðir úthlutun tíðniheimilda einungis til takmarkaðs eignaréttar og ráðstöfunarréttar viðkomandi tíðnirétthafa. Slík takmörkuð eignarréttindi eru jafnframt varin af eignarréttarákvæði stjórnarkrárinnar, sbr. 72. gr. hennar. Frumvarp þetta hefur ekki áhrif á þau réttindi handhafa tíðniheimildanna enda halda tíðniheimildir sem gefnar hafa verið út á grundvelli laga nr. 8/2005 gildi sínu.</w:t>
      </w:r>
    </w:p>
    <w:p w:rsidR="00692B99" w:rsidRDefault="00692B99" w:rsidP="00D179F7">
      <w:pPr>
        <w:rPr>
          <w:rFonts w:eastAsia="Times New Roman" w:cs="Times New Roman"/>
          <w:bCs/>
          <w:i/>
          <w:szCs w:val="24"/>
          <w:lang w:eastAsia="is-IS"/>
        </w:rPr>
      </w:pPr>
    </w:p>
    <w:p w:rsidR="006728CA" w:rsidRPr="006728CA" w:rsidRDefault="006728CA" w:rsidP="00D179F7">
      <w:pPr>
        <w:rPr>
          <w:rFonts w:eastAsia="Times New Roman" w:cs="Times New Roman"/>
          <w:bCs/>
          <w:i/>
          <w:szCs w:val="24"/>
          <w:lang w:eastAsia="is-IS"/>
        </w:rPr>
      </w:pPr>
      <w:r w:rsidRPr="006728CA">
        <w:rPr>
          <w:rFonts w:eastAsia="Times New Roman" w:cs="Times New Roman"/>
          <w:bCs/>
          <w:i/>
          <w:szCs w:val="24"/>
          <w:lang w:eastAsia="is-IS"/>
        </w:rPr>
        <w:t>3.</w:t>
      </w:r>
      <w:r w:rsidR="00692B99">
        <w:rPr>
          <w:rFonts w:eastAsia="Times New Roman" w:cs="Times New Roman"/>
          <w:bCs/>
          <w:i/>
          <w:szCs w:val="24"/>
          <w:lang w:eastAsia="is-IS"/>
        </w:rPr>
        <w:t>2</w:t>
      </w:r>
      <w:r w:rsidRPr="006728CA">
        <w:rPr>
          <w:rFonts w:eastAsia="Times New Roman" w:cs="Times New Roman"/>
          <w:bCs/>
          <w:i/>
          <w:szCs w:val="24"/>
          <w:lang w:eastAsia="is-IS"/>
        </w:rPr>
        <w:t xml:space="preserve">. </w:t>
      </w:r>
      <w:r w:rsidR="004A2BFC">
        <w:rPr>
          <w:rFonts w:eastAsia="Times New Roman" w:cs="Times New Roman"/>
          <w:bCs/>
          <w:i/>
          <w:szCs w:val="24"/>
          <w:lang w:eastAsia="is-IS"/>
        </w:rPr>
        <w:t>Ú</w:t>
      </w:r>
      <w:r w:rsidRPr="006728CA">
        <w:rPr>
          <w:rFonts w:eastAsia="Times New Roman" w:cs="Times New Roman"/>
          <w:bCs/>
          <w:i/>
          <w:szCs w:val="24"/>
          <w:lang w:eastAsia="is-IS"/>
        </w:rPr>
        <w:t>tboð á tíðniheimildum fyrir þriðju kynslóðar farsímaþjónustu</w:t>
      </w:r>
    </w:p>
    <w:p w:rsidR="006728CA" w:rsidRDefault="000444C1" w:rsidP="008A6466">
      <w:pPr>
        <w:rPr>
          <w:rFonts w:eastAsia="Times New Roman" w:cs="Times New Roman"/>
          <w:bCs/>
          <w:szCs w:val="24"/>
          <w:lang w:eastAsia="is-IS"/>
        </w:rPr>
      </w:pPr>
      <w:r>
        <w:rPr>
          <w:rFonts w:eastAsia="Times New Roman" w:cs="Times New Roman"/>
          <w:bCs/>
          <w:szCs w:val="24"/>
          <w:lang w:eastAsia="is-IS"/>
        </w:rPr>
        <w:t xml:space="preserve">Ekki reyndi á lög nr. 8/2005 </w:t>
      </w:r>
      <w:r w:rsidR="008A6466">
        <w:rPr>
          <w:rFonts w:eastAsia="Times New Roman" w:cs="Times New Roman"/>
          <w:bCs/>
          <w:szCs w:val="24"/>
          <w:lang w:eastAsia="is-IS"/>
        </w:rPr>
        <w:t xml:space="preserve">fyrr en á seinni helmingi ársins 2006 þegar fjarskiptafyrirtækið Nova ehf. </w:t>
      </w:r>
      <w:r w:rsidR="001215B2">
        <w:rPr>
          <w:rFonts w:eastAsia="Times New Roman" w:cs="Times New Roman"/>
          <w:bCs/>
          <w:szCs w:val="24"/>
          <w:lang w:eastAsia="is-IS"/>
        </w:rPr>
        <w:t xml:space="preserve">óskaði eftir að fá úthlutað tíðnisviði fyrir þriðju kynslóð farsímaþjónustu. Í samræmi við lögin bar Póst- og fjarskiptastofnun að efna til útboðs um úthlutun og voru útboðsskilmálar kynntir væntanlegum hagsmunaaðilum með opinberu samráði þann 13. desember 2006. </w:t>
      </w:r>
      <w:r w:rsidR="006728CA">
        <w:rPr>
          <w:rFonts w:eastAsia="Times New Roman" w:cs="Times New Roman"/>
          <w:bCs/>
          <w:szCs w:val="24"/>
          <w:lang w:eastAsia="is-IS"/>
        </w:rPr>
        <w:t xml:space="preserve">Í samráðinu kom m.a. fram að boðnar yrðu upp allt að fjórar tíðniheimildir, auk þess sem gerð var grein fyrir því hvernig tilboð yrðu metin, en það væri gert með </w:t>
      </w:r>
      <w:r w:rsidR="006728CA">
        <w:rPr>
          <w:rFonts w:eastAsia="Times New Roman" w:cs="Times New Roman"/>
          <w:bCs/>
          <w:szCs w:val="24"/>
          <w:lang w:eastAsia="is-IS"/>
        </w:rPr>
        <w:lastRenderedPageBreak/>
        <w:t xml:space="preserve">stigagjöf á grundvelli útbreiðslu þjónustunnar eftir landssvæðum umfram </w:t>
      </w:r>
      <w:r w:rsidR="00AC792D">
        <w:rPr>
          <w:rFonts w:eastAsia="Times New Roman" w:cs="Times New Roman"/>
          <w:bCs/>
          <w:szCs w:val="24"/>
          <w:lang w:eastAsia="is-IS"/>
        </w:rPr>
        <w:t>þær lágmarks</w:t>
      </w:r>
      <w:r w:rsidR="006728CA">
        <w:rPr>
          <w:rFonts w:eastAsia="Times New Roman" w:cs="Times New Roman"/>
          <w:bCs/>
          <w:szCs w:val="24"/>
          <w:lang w:eastAsia="is-IS"/>
        </w:rPr>
        <w:t>lágmarkröfur sem settar voru í lögunum:</w:t>
      </w:r>
    </w:p>
    <w:p w:rsidR="006728CA" w:rsidRDefault="006728CA" w:rsidP="008A6466">
      <w:pPr>
        <w:rPr>
          <w:rFonts w:eastAsia="Times New Roman" w:cs="Times New Roman"/>
          <w:bCs/>
          <w:szCs w:val="24"/>
          <w:lang w:eastAsia="is-IS"/>
        </w:rPr>
      </w:pPr>
    </w:p>
    <w:p w:rsidR="006728CA" w:rsidRPr="006728CA" w:rsidRDefault="00CC62E4" w:rsidP="00CC62E4">
      <w:pPr>
        <w:ind w:left="567" w:right="567"/>
        <w:jc w:val="left"/>
        <w:rPr>
          <w:rFonts w:eastAsia="Times New Roman" w:cs="Times New Roman"/>
          <w:color w:val="333333"/>
          <w:szCs w:val="24"/>
          <w:lang w:eastAsia="is-IS"/>
        </w:rPr>
      </w:pPr>
      <w:r>
        <w:rPr>
          <w:rFonts w:eastAsia="Times New Roman" w:cs="Times New Roman"/>
          <w:color w:val="333333"/>
          <w:szCs w:val="24"/>
          <w:lang w:eastAsia="is-IS"/>
        </w:rPr>
        <w:t>Þ</w:t>
      </w:r>
      <w:r w:rsidR="006728CA" w:rsidRPr="006728CA">
        <w:rPr>
          <w:rFonts w:eastAsia="Times New Roman" w:cs="Times New Roman"/>
          <w:color w:val="333333"/>
          <w:szCs w:val="24"/>
          <w:lang w:eastAsia="is-IS"/>
        </w:rPr>
        <w:t xml:space="preserve">riðju kynslóðar farsímaþjónusta </w:t>
      </w:r>
      <w:r>
        <w:rPr>
          <w:rFonts w:eastAsia="Times New Roman" w:cs="Times New Roman"/>
          <w:color w:val="333333"/>
          <w:szCs w:val="24"/>
          <w:lang w:eastAsia="is-IS"/>
        </w:rPr>
        <w:t>sk</w:t>
      </w:r>
      <w:r w:rsidR="00AC792D">
        <w:rPr>
          <w:rFonts w:eastAsia="Times New Roman" w:cs="Times New Roman"/>
          <w:color w:val="333333"/>
          <w:szCs w:val="24"/>
          <w:lang w:eastAsia="is-IS"/>
        </w:rPr>
        <w:t xml:space="preserve">yldi </w:t>
      </w:r>
      <w:r w:rsidR="006728CA" w:rsidRPr="006728CA">
        <w:rPr>
          <w:rFonts w:eastAsia="Times New Roman" w:cs="Times New Roman"/>
          <w:color w:val="333333"/>
          <w:szCs w:val="24"/>
          <w:lang w:eastAsia="is-IS"/>
        </w:rPr>
        <w:t>ná til a.m.k. 60% íbúa sérhverra eftirfarandi svæða:</w:t>
      </w:r>
    </w:p>
    <w:p w:rsidR="006728CA" w:rsidRPr="006728CA" w:rsidRDefault="006728CA" w:rsidP="00CC62E4">
      <w:pPr>
        <w:tabs>
          <w:tab w:val="num" w:pos="720"/>
        </w:tabs>
        <w:ind w:left="1701" w:right="567" w:hanging="357"/>
        <w:jc w:val="left"/>
        <w:rPr>
          <w:rFonts w:eastAsia="Times New Roman" w:cs="Times New Roman"/>
          <w:color w:val="333333"/>
          <w:szCs w:val="24"/>
          <w:lang w:eastAsia="is-IS"/>
        </w:rPr>
      </w:pPr>
      <w:r w:rsidRPr="006728CA">
        <w:rPr>
          <w:rFonts w:eastAsia="Times New Roman" w:cs="Times New Roman"/>
          <w:color w:val="333333"/>
          <w:szCs w:val="24"/>
          <w:lang w:eastAsia="is-IS"/>
        </w:rPr>
        <w:t>a)</w:t>
      </w:r>
      <w:r w:rsidRPr="006728CA">
        <w:rPr>
          <w:rFonts w:eastAsia="Times New Roman" w:cs="Times New Roman"/>
          <w:color w:val="333333"/>
          <w:sz w:val="14"/>
          <w:szCs w:val="14"/>
          <w:lang w:eastAsia="is-IS"/>
        </w:rPr>
        <w:t xml:space="preserve">      </w:t>
      </w:r>
      <w:r w:rsidRPr="006728CA">
        <w:rPr>
          <w:rFonts w:eastAsia="Times New Roman" w:cs="Times New Roman"/>
          <w:color w:val="333333"/>
          <w:szCs w:val="24"/>
          <w:lang w:eastAsia="is-IS"/>
        </w:rPr>
        <w:t xml:space="preserve">Höfuðborgarsvæðis </w:t>
      </w:r>
    </w:p>
    <w:p w:rsidR="006728CA" w:rsidRPr="006728CA" w:rsidRDefault="006728CA" w:rsidP="00CC62E4">
      <w:pPr>
        <w:tabs>
          <w:tab w:val="num" w:pos="720"/>
        </w:tabs>
        <w:ind w:left="1701" w:right="567" w:hanging="357"/>
        <w:jc w:val="left"/>
        <w:rPr>
          <w:rFonts w:eastAsia="Times New Roman" w:cs="Times New Roman"/>
          <w:color w:val="333333"/>
          <w:szCs w:val="24"/>
          <w:lang w:eastAsia="is-IS"/>
        </w:rPr>
      </w:pPr>
      <w:r w:rsidRPr="006728CA">
        <w:rPr>
          <w:rFonts w:eastAsia="Times New Roman" w:cs="Times New Roman"/>
          <w:color w:val="333333"/>
          <w:szCs w:val="24"/>
          <w:lang w:eastAsia="is-IS"/>
        </w:rPr>
        <w:t>b)</w:t>
      </w:r>
      <w:r w:rsidRPr="006728CA">
        <w:rPr>
          <w:rFonts w:eastAsia="Times New Roman" w:cs="Times New Roman"/>
          <w:color w:val="333333"/>
          <w:sz w:val="14"/>
          <w:szCs w:val="14"/>
          <w:lang w:eastAsia="is-IS"/>
        </w:rPr>
        <w:t xml:space="preserve">      </w:t>
      </w:r>
      <w:r w:rsidRPr="006728CA">
        <w:rPr>
          <w:rFonts w:eastAsia="Times New Roman" w:cs="Times New Roman"/>
          <w:color w:val="333333"/>
          <w:szCs w:val="24"/>
          <w:lang w:eastAsia="is-IS"/>
        </w:rPr>
        <w:t>Vesturlands, Vestfjarða og Norðurlands vestra</w:t>
      </w:r>
    </w:p>
    <w:p w:rsidR="006728CA" w:rsidRPr="006728CA" w:rsidRDefault="006728CA" w:rsidP="00CC62E4">
      <w:pPr>
        <w:tabs>
          <w:tab w:val="num" w:pos="720"/>
        </w:tabs>
        <w:ind w:left="1701" w:right="567" w:hanging="357"/>
        <w:jc w:val="left"/>
        <w:rPr>
          <w:rFonts w:eastAsia="Times New Roman" w:cs="Times New Roman"/>
          <w:color w:val="333333"/>
          <w:szCs w:val="24"/>
          <w:lang w:eastAsia="is-IS"/>
        </w:rPr>
      </w:pPr>
      <w:r w:rsidRPr="006728CA">
        <w:rPr>
          <w:rFonts w:eastAsia="Times New Roman" w:cs="Times New Roman"/>
          <w:color w:val="333333"/>
          <w:szCs w:val="24"/>
          <w:lang w:eastAsia="is-IS"/>
        </w:rPr>
        <w:t>c)</w:t>
      </w:r>
      <w:r w:rsidRPr="006728CA">
        <w:rPr>
          <w:rFonts w:eastAsia="Times New Roman" w:cs="Times New Roman"/>
          <w:color w:val="333333"/>
          <w:sz w:val="14"/>
          <w:szCs w:val="14"/>
          <w:lang w:eastAsia="is-IS"/>
        </w:rPr>
        <w:t xml:space="preserve">      </w:t>
      </w:r>
      <w:r w:rsidRPr="006728CA">
        <w:rPr>
          <w:rFonts w:eastAsia="Times New Roman" w:cs="Times New Roman"/>
          <w:color w:val="333333"/>
          <w:szCs w:val="24"/>
          <w:lang w:eastAsia="is-IS"/>
        </w:rPr>
        <w:t>Norðurlands eystra og Austurlands</w:t>
      </w:r>
    </w:p>
    <w:p w:rsidR="006728CA" w:rsidRPr="006728CA" w:rsidRDefault="006728CA" w:rsidP="00CC62E4">
      <w:pPr>
        <w:tabs>
          <w:tab w:val="num" w:pos="720"/>
        </w:tabs>
        <w:ind w:left="1701" w:right="567" w:hanging="357"/>
        <w:jc w:val="left"/>
        <w:rPr>
          <w:rFonts w:eastAsia="Times New Roman" w:cs="Times New Roman"/>
          <w:color w:val="333333"/>
          <w:szCs w:val="24"/>
          <w:lang w:eastAsia="is-IS"/>
        </w:rPr>
      </w:pPr>
      <w:r w:rsidRPr="006728CA">
        <w:rPr>
          <w:rFonts w:eastAsia="Times New Roman" w:cs="Times New Roman"/>
          <w:color w:val="333333"/>
          <w:szCs w:val="24"/>
          <w:lang w:eastAsia="is-IS"/>
        </w:rPr>
        <w:t>d)</w:t>
      </w:r>
      <w:r w:rsidRPr="006728CA">
        <w:rPr>
          <w:rFonts w:eastAsia="Times New Roman" w:cs="Times New Roman"/>
          <w:color w:val="333333"/>
          <w:sz w:val="14"/>
          <w:szCs w:val="14"/>
          <w:lang w:eastAsia="is-IS"/>
        </w:rPr>
        <w:t xml:space="preserve">      </w:t>
      </w:r>
      <w:r w:rsidRPr="006728CA">
        <w:rPr>
          <w:rFonts w:eastAsia="Times New Roman" w:cs="Times New Roman"/>
          <w:color w:val="333333"/>
          <w:szCs w:val="24"/>
          <w:lang w:eastAsia="is-IS"/>
        </w:rPr>
        <w:t>Suðurlands og Suðurnesja</w:t>
      </w:r>
    </w:p>
    <w:p w:rsidR="006728CA" w:rsidRDefault="006728CA" w:rsidP="008A6466">
      <w:pPr>
        <w:rPr>
          <w:rFonts w:eastAsia="Times New Roman" w:cs="Times New Roman"/>
          <w:bCs/>
          <w:szCs w:val="24"/>
          <w:lang w:eastAsia="is-IS"/>
        </w:rPr>
      </w:pPr>
    </w:p>
    <w:p w:rsidR="006728CA" w:rsidRDefault="006728CA" w:rsidP="008A6466">
      <w:pPr>
        <w:rPr>
          <w:rFonts w:eastAsia="Times New Roman" w:cs="Times New Roman"/>
          <w:bCs/>
          <w:szCs w:val="24"/>
          <w:lang w:eastAsia="is-IS"/>
        </w:rPr>
      </w:pPr>
    </w:p>
    <w:p w:rsidR="00CC62E4" w:rsidRDefault="001215B2" w:rsidP="008A6466">
      <w:pPr>
        <w:rPr>
          <w:rFonts w:eastAsia="Times New Roman" w:cs="Times New Roman"/>
          <w:bCs/>
          <w:szCs w:val="24"/>
          <w:lang w:eastAsia="is-IS"/>
        </w:rPr>
      </w:pPr>
      <w:r>
        <w:rPr>
          <w:rFonts w:eastAsia="Times New Roman" w:cs="Times New Roman"/>
          <w:bCs/>
          <w:szCs w:val="24"/>
          <w:lang w:eastAsia="is-IS"/>
        </w:rPr>
        <w:t>Útboðið fór síðan fram með opnun tilboða</w:t>
      </w:r>
      <w:r w:rsidR="00CC62E4">
        <w:rPr>
          <w:rFonts w:eastAsia="Times New Roman" w:cs="Times New Roman"/>
          <w:bCs/>
          <w:szCs w:val="24"/>
          <w:lang w:eastAsia="is-IS"/>
        </w:rPr>
        <w:t xml:space="preserve"> þann 12. mars 2007. Alls lögðu þrjú fjarskiptafyrirtæki fram tilboð, sem stóð</w:t>
      </w:r>
      <w:r w:rsidR="00F72789">
        <w:rPr>
          <w:rFonts w:eastAsia="Times New Roman" w:cs="Times New Roman"/>
          <w:bCs/>
          <w:szCs w:val="24"/>
          <w:lang w:eastAsia="is-IS"/>
        </w:rPr>
        <w:t>u</w:t>
      </w:r>
      <w:r w:rsidR="00CC62E4">
        <w:rPr>
          <w:rFonts w:eastAsia="Times New Roman" w:cs="Times New Roman"/>
          <w:bCs/>
          <w:szCs w:val="24"/>
          <w:lang w:eastAsia="is-IS"/>
        </w:rPr>
        <w:t>st skilyrði útboðsskilmála, m.a. um lágmarksútbreiðslu þjónustu. Um var að ræða félögin: Síminn hf., Fjarskipti ehf. (Vodafone) og Nova ehf. Þar sem að fjórar tíðniheimildir voru til úthlutunar og öll þrjú tilboðin sem bárust voru talin gild var ljóst að allir tilboðsgjafar fengju úthlutaða tíðniheimild.</w:t>
      </w:r>
      <w:r w:rsidR="000C7FE6">
        <w:rPr>
          <w:rFonts w:eastAsia="Times New Roman" w:cs="Times New Roman"/>
          <w:bCs/>
          <w:szCs w:val="24"/>
          <w:lang w:eastAsia="is-IS"/>
        </w:rPr>
        <w:t xml:space="preserve"> Tíðniheimildir voru síðan gefnar út þann 30. mars 2007.</w:t>
      </w:r>
    </w:p>
    <w:p w:rsidR="00CC62E4" w:rsidRDefault="00CC62E4" w:rsidP="008A6466">
      <w:pPr>
        <w:rPr>
          <w:rFonts w:eastAsia="Times New Roman" w:cs="Times New Roman"/>
          <w:bCs/>
          <w:szCs w:val="24"/>
          <w:lang w:eastAsia="is-IS"/>
        </w:rPr>
      </w:pPr>
    </w:p>
    <w:p w:rsidR="001E4672" w:rsidRPr="00CC62E4" w:rsidRDefault="00CC62E4" w:rsidP="008A6466">
      <w:pPr>
        <w:rPr>
          <w:rFonts w:eastAsia="Times New Roman" w:cs="Times New Roman"/>
          <w:bCs/>
          <w:i/>
          <w:szCs w:val="24"/>
          <w:lang w:eastAsia="is-IS"/>
        </w:rPr>
      </w:pPr>
      <w:r w:rsidRPr="00CC62E4">
        <w:rPr>
          <w:rFonts w:eastAsia="Times New Roman" w:cs="Times New Roman"/>
          <w:bCs/>
          <w:i/>
          <w:szCs w:val="24"/>
          <w:lang w:eastAsia="is-IS"/>
        </w:rPr>
        <w:t>3.</w:t>
      </w:r>
      <w:r w:rsidR="00692B99">
        <w:rPr>
          <w:rFonts w:eastAsia="Times New Roman" w:cs="Times New Roman"/>
          <w:bCs/>
          <w:i/>
          <w:szCs w:val="24"/>
          <w:lang w:eastAsia="is-IS"/>
        </w:rPr>
        <w:t>3</w:t>
      </w:r>
      <w:r w:rsidRPr="00CC62E4">
        <w:rPr>
          <w:rFonts w:eastAsia="Times New Roman" w:cs="Times New Roman"/>
          <w:bCs/>
          <w:i/>
          <w:szCs w:val="24"/>
          <w:lang w:eastAsia="is-IS"/>
        </w:rPr>
        <w:t xml:space="preserve">. Staða útbreiðslu þriðju </w:t>
      </w:r>
      <w:r w:rsidR="008932D4">
        <w:rPr>
          <w:rFonts w:eastAsia="Times New Roman" w:cs="Times New Roman"/>
          <w:bCs/>
          <w:i/>
          <w:szCs w:val="24"/>
          <w:lang w:eastAsia="is-IS"/>
        </w:rPr>
        <w:t>kynslóðar farsímaþjónustu árið 2015</w:t>
      </w:r>
    </w:p>
    <w:p w:rsidR="001E4672" w:rsidRPr="005E03EF" w:rsidRDefault="005E03EF" w:rsidP="005E03EF">
      <w:pPr>
        <w:rPr>
          <w:rFonts w:eastAsia="Times New Roman" w:cs="Times New Roman"/>
          <w:bCs/>
          <w:szCs w:val="24"/>
          <w:lang w:eastAsia="is-IS"/>
        </w:rPr>
      </w:pPr>
      <w:r>
        <w:rPr>
          <w:rFonts w:eastAsia="Times New Roman" w:cs="Times New Roman"/>
          <w:bCs/>
          <w:szCs w:val="24"/>
          <w:lang w:eastAsia="is-IS"/>
        </w:rPr>
        <w:t>Samkvæmt skilmálum tíðniheimildanna sem gefnar voru út skyldi hraði uppbygging</w:t>
      </w:r>
      <w:r w:rsidR="008932D4">
        <w:rPr>
          <w:rFonts w:eastAsia="Times New Roman" w:cs="Times New Roman"/>
          <w:bCs/>
          <w:szCs w:val="24"/>
          <w:lang w:eastAsia="is-IS"/>
        </w:rPr>
        <w:t>ar skiptast í fjóra áfanga og út</w:t>
      </w:r>
      <w:r>
        <w:rPr>
          <w:rFonts w:eastAsia="Times New Roman" w:cs="Times New Roman"/>
          <w:bCs/>
          <w:szCs w:val="24"/>
          <w:lang w:eastAsia="is-IS"/>
        </w:rPr>
        <w:t xml:space="preserve">breiðsluskuldbindingum hafa verið náð í síðasta áfanga sem var fimm og hálfu ári frá útgáfudegi. </w:t>
      </w:r>
      <w:r w:rsidR="008932D4">
        <w:rPr>
          <w:rFonts w:eastAsia="Times New Roman" w:cs="Times New Roman"/>
          <w:bCs/>
          <w:szCs w:val="24"/>
          <w:lang w:eastAsia="is-IS"/>
        </w:rPr>
        <w:t>Eru nú</w:t>
      </w:r>
      <w:r w:rsidR="001252A5">
        <w:rPr>
          <w:rFonts w:eastAsia="Times New Roman" w:cs="Times New Roman"/>
          <w:bCs/>
          <w:szCs w:val="24"/>
          <w:lang w:eastAsia="is-IS"/>
        </w:rPr>
        <w:t xml:space="preserve"> liðin </w:t>
      </w:r>
      <w:r w:rsidR="00AC72B1">
        <w:rPr>
          <w:rFonts w:eastAsia="Times New Roman" w:cs="Times New Roman"/>
          <w:bCs/>
          <w:szCs w:val="24"/>
          <w:lang w:eastAsia="is-IS"/>
        </w:rPr>
        <w:t xml:space="preserve">rúmlega </w:t>
      </w:r>
      <w:r w:rsidR="00F72789">
        <w:rPr>
          <w:rFonts w:eastAsia="Times New Roman" w:cs="Times New Roman"/>
          <w:bCs/>
          <w:szCs w:val="24"/>
          <w:lang w:eastAsia="is-IS"/>
        </w:rPr>
        <w:t xml:space="preserve">átta </w:t>
      </w:r>
      <w:r w:rsidR="00AC72B1">
        <w:rPr>
          <w:rFonts w:eastAsia="Times New Roman" w:cs="Times New Roman"/>
          <w:bCs/>
          <w:szCs w:val="24"/>
          <w:lang w:eastAsia="is-IS"/>
        </w:rPr>
        <w:t xml:space="preserve">ár frá útgáfu tíðniheimildanna og er útbreiðsla þriðju kynslóðar farsímaþjónustu komin talsvert umfram það sem fjarskiptafyrirtækin skuldbundu sig til í útboði um tíðniheimildirnar, sérstaklega á það við um landsvæðin utan höfuðborgarsvæðisins. Samkvæmt upplýsingum frá viðkomandi fjarskiptafyrirtækjum </w:t>
      </w:r>
      <w:r w:rsidR="0079293B">
        <w:rPr>
          <w:rFonts w:eastAsia="Times New Roman" w:cs="Times New Roman"/>
          <w:bCs/>
          <w:szCs w:val="24"/>
          <w:lang w:eastAsia="is-IS"/>
        </w:rPr>
        <w:t>er útbreiðsla þjónustu, sem hlutfall af heildaríbúafjölda innan hvers landsvæðis, með eftirfarandi hætti:</w:t>
      </w:r>
    </w:p>
    <w:p w:rsidR="00144608" w:rsidRDefault="00144608" w:rsidP="00144608">
      <w:pPr>
        <w:rPr>
          <w:rFonts w:eastAsia="Times New Roman" w:cs="Times New Roman"/>
          <w:b/>
          <w:bCs/>
          <w:szCs w:val="24"/>
          <w:lang w:eastAsia="is-IS"/>
        </w:rPr>
      </w:pPr>
    </w:p>
    <w:tbl>
      <w:tblPr>
        <w:tblStyle w:val="TableGrid"/>
        <w:tblW w:w="7789" w:type="dxa"/>
        <w:jc w:val="center"/>
        <w:tblLook w:val="04A0" w:firstRow="1" w:lastRow="0" w:firstColumn="1" w:lastColumn="0" w:noHBand="0" w:noVBand="1"/>
      </w:tblPr>
      <w:tblGrid>
        <w:gridCol w:w="4245"/>
        <w:gridCol w:w="1134"/>
        <w:gridCol w:w="1276"/>
        <w:gridCol w:w="1134"/>
      </w:tblGrid>
      <w:tr w:rsidR="00A622F6" w:rsidRPr="002703B8" w:rsidTr="004A2BFC">
        <w:trPr>
          <w:trHeight w:val="300"/>
          <w:jc w:val="center"/>
        </w:trPr>
        <w:tc>
          <w:tcPr>
            <w:tcW w:w="4245" w:type="dxa"/>
            <w:tcBorders>
              <w:top w:val="single" w:sz="6" w:space="0" w:color="auto"/>
              <w:left w:val="single" w:sz="6" w:space="0" w:color="auto"/>
              <w:bottom w:val="single" w:sz="12" w:space="0" w:color="auto"/>
              <w:right w:val="single" w:sz="6" w:space="0" w:color="auto"/>
            </w:tcBorders>
            <w:shd w:val="clear" w:color="auto" w:fill="E7E6E6" w:themeFill="background2"/>
            <w:noWrap/>
            <w:hideMark/>
          </w:tcPr>
          <w:p w:rsidR="00144608" w:rsidRPr="007B506D" w:rsidRDefault="00144608" w:rsidP="00AC72B1">
            <w:pPr>
              <w:rPr>
                <w:rFonts w:ascii="Calibri" w:eastAsia="Times New Roman" w:hAnsi="Calibri" w:cs="Times New Roman"/>
                <w:color w:val="000000"/>
                <w:lang w:eastAsia="is-IS"/>
              </w:rPr>
            </w:pPr>
            <w:r w:rsidRPr="007B506D">
              <w:rPr>
                <w:rFonts w:ascii="Calibri" w:eastAsia="Times New Roman" w:hAnsi="Calibri" w:cs="Times New Roman"/>
                <w:color w:val="000000"/>
                <w:lang w:eastAsia="is-IS"/>
              </w:rPr>
              <w:t xml:space="preserve">Staða 3G útbreiðslu </w:t>
            </w:r>
            <w:r w:rsidR="00AC72B1">
              <w:rPr>
                <w:rFonts w:ascii="Calibri" w:eastAsia="Times New Roman" w:hAnsi="Calibri" w:cs="Times New Roman"/>
                <w:color w:val="000000"/>
                <w:lang w:eastAsia="is-IS"/>
              </w:rPr>
              <w:t xml:space="preserve">í maí </w:t>
            </w:r>
            <w:r w:rsidRPr="007B506D">
              <w:rPr>
                <w:rFonts w:ascii="Calibri" w:eastAsia="Times New Roman" w:hAnsi="Calibri" w:cs="Times New Roman"/>
                <w:color w:val="000000"/>
                <w:lang w:eastAsia="is-IS"/>
              </w:rPr>
              <w:t>2015</w:t>
            </w:r>
          </w:p>
        </w:tc>
        <w:tc>
          <w:tcPr>
            <w:tcW w:w="1134" w:type="dxa"/>
            <w:tcBorders>
              <w:top w:val="single" w:sz="6" w:space="0" w:color="auto"/>
              <w:left w:val="single" w:sz="6" w:space="0" w:color="auto"/>
              <w:bottom w:val="single" w:sz="12" w:space="0" w:color="auto"/>
              <w:right w:val="single" w:sz="6" w:space="0" w:color="auto"/>
            </w:tcBorders>
            <w:shd w:val="clear" w:color="auto" w:fill="E7E6E6" w:themeFill="background2"/>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Nova</w:t>
            </w:r>
          </w:p>
        </w:tc>
        <w:tc>
          <w:tcPr>
            <w:tcW w:w="1276" w:type="dxa"/>
            <w:tcBorders>
              <w:top w:val="single" w:sz="6" w:space="0" w:color="auto"/>
              <w:left w:val="single" w:sz="6" w:space="0" w:color="auto"/>
              <w:bottom w:val="single" w:sz="12" w:space="0" w:color="auto"/>
              <w:right w:val="single" w:sz="6" w:space="0" w:color="auto"/>
            </w:tcBorders>
            <w:shd w:val="clear" w:color="auto" w:fill="E7E6E6" w:themeFill="background2"/>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Fjarskipti</w:t>
            </w:r>
          </w:p>
        </w:tc>
        <w:tc>
          <w:tcPr>
            <w:tcW w:w="1134" w:type="dxa"/>
            <w:tcBorders>
              <w:top w:val="single" w:sz="6" w:space="0" w:color="auto"/>
              <w:left w:val="single" w:sz="6" w:space="0" w:color="auto"/>
              <w:bottom w:val="single" w:sz="12" w:space="0" w:color="auto"/>
              <w:right w:val="single" w:sz="6" w:space="0" w:color="auto"/>
            </w:tcBorders>
            <w:shd w:val="clear" w:color="auto" w:fill="E7E6E6" w:themeFill="background2"/>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Síminn</w:t>
            </w:r>
          </w:p>
        </w:tc>
      </w:tr>
      <w:tr w:rsidR="00144608" w:rsidRPr="002703B8" w:rsidTr="004A2BFC">
        <w:trPr>
          <w:trHeight w:val="300"/>
          <w:jc w:val="center"/>
        </w:trPr>
        <w:tc>
          <w:tcPr>
            <w:tcW w:w="4245" w:type="dxa"/>
            <w:tcBorders>
              <w:top w:val="single" w:sz="12" w:space="0" w:color="auto"/>
            </w:tcBorders>
            <w:noWrap/>
            <w:hideMark/>
          </w:tcPr>
          <w:p w:rsidR="00144608" w:rsidRPr="002703B8" w:rsidRDefault="00A622F6" w:rsidP="002A787F">
            <w:pPr>
              <w:rPr>
                <w:rFonts w:ascii="Calibri" w:eastAsia="Times New Roman" w:hAnsi="Calibri" w:cs="Times New Roman"/>
                <w:color w:val="000000"/>
                <w:lang w:eastAsia="is-IS"/>
              </w:rPr>
            </w:pPr>
            <w:r>
              <w:rPr>
                <w:rFonts w:ascii="Calibri" w:eastAsia="Times New Roman" w:hAnsi="Calibri" w:cs="Times New Roman"/>
                <w:color w:val="000000"/>
                <w:lang w:eastAsia="is-IS"/>
              </w:rPr>
              <w:t xml:space="preserve">a) </w:t>
            </w:r>
            <w:r w:rsidR="00144608" w:rsidRPr="002703B8">
              <w:rPr>
                <w:rFonts w:ascii="Calibri" w:eastAsia="Times New Roman" w:hAnsi="Calibri" w:cs="Times New Roman"/>
                <w:color w:val="000000"/>
                <w:lang w:eastAsia="is-IS"/>
              </w:rPr>
              <w:t>Höfuðborgarsvæðið</w:t>
            </w:r>
          </w:p>
        </w:tc>
        <w:tc>
          <w:tcPr>
            <w:tcW w:w="1134" w:type="dxa"/>
            <w:tcBorders>
              <w:top w:val="single" w:sz="12" w:space="0" w:color="auto"/>
            </w:tcBorders>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99,67</w:t>
            </w:r>
            <w:r w:rsidR="00A622F6">
              <w:rPr>
                <w:rFonts w:ascii="Calibri" w:eastAsia="Times New Roman" w:hAnsi="Calibri" w:cs="Times New Roman"/>
                <w:color w:val="000000"/>
                <w:lang w:eastAsia="is-IS"/>
              </w:rPr>
              <w:t xml:space="preserve"> %</w:t>
            </w:r>
          </w:p>
        </w:tc>
        <w:tc>
          <w:tcPr>
            <w:tcW w:w="1276" w:type="dxa"/>
            <w:tcBorders>
              <w:top w:val="single" w:sz="12" w:space="0" w:color="auto"/>
            </w:tcBorders>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99,67</w:t>
            </w:r>
            <w:r w:rsidR="00A622F6">
              <w:rPr>
                <w:rFonts w:ascii="Calibri" w:eastAsia="Times New Roman" w:hAnsi="Calibri" w:cs="Times New Roman"/>
                <w:color w:val="000000"/>
                <w:lang w:eastAsia="is-IS"/>
              </w:rPr>
              <w:t xml:space="preserve"> %</w:t>
            </w:r>
          </w:p>
        </w:tc>
        <w:tc>
          <w:tcPr>
            <w:tcW w:w="1134" w:type="dxa"/>
            <w:tcBorders>
              <w:top w:val="single" w:sz="12" w:space="0" w:color="auto"/>
            </w:tcBorders>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99,91</w:t>
            </w:r>
            <w:r w:rsidR="00A622F6">
              <w:rPr>
                <w:rFonts w:ascii="Calibri" w:eastAsia="Times New Roman" w:hAnsi="Calibri" w:cs="Times New Roman"/>
                <w:color w:val="000000"/>
                <w:lang w:eastAsia="is-IS"/>
              </w:rPr>
              <w:t xml:space="preserve"> %</w:t>
            </w:r>
          </w:p>
        </w:tc>
      </w:tr>
      <w:tr w:rsidR="00144608" w:rsidRPr="002703B8" w:rsidTr="004A2BFC">
        <w:trPr>
          <w:trHeight w:val="300"/>
          <w:jc w:val="center"/>
        </w:trPr>
        <w:tc>
          <w:tcPr>
            <w:tcW w:w="4245" w:type="dxa"/>
            <w:noWrap/>
            <w:hideMark/>
          </w:tcPr>
          <w:p w:rsidR="00144608" w:rsidRPr="002703B8" w:rsidRDefault="00A622F6" w:rsidP="002A787F">
            <w:pPr>
              <w:rPr>
                <w:rFonts w:ascii="Calibri" w:eastAsia="Times New Roman" w:hAnsi="Calibri" w:cs="Times New Roman"/>
                <w:color w:val="000000"/>
                <w:lang w:eastAsia="is-IS"/>
              </w:rPr>
            </w:pPr>
            <w:r>
              <w:rPr>
                <w:rFonts w:ascii="Calibri" w:eastAsia="Times New Roman" w:hAnsi="Calibri" w:cs="Times New Roman"/>
                <w:color w:val="000000"/>
                <w:lang w:eastAsia="is-IS"/>
              </w:rPr>
              <w:t xml:space="preserve">b) </w:t>
            </w:r>
            <w:r w:rsidR="00144608" w:rsidRPr="002703B8">
              <w:rPr>
                <w:rFonts w:ascii="Calibri" w:eastAsia="Times New Roman" w:hAnsi="Calibri" w:cs="Times New Roman"/>
                <w:color w:val="000000"/>
                <w:lang w:eastAsia="is-IS"/>
              </w:rPr>
              <w:t>Vesturland, Vestfirðir, Norðurland vestra</w:t>
            </w:r>
          </w:p>
        </w:tc>
        <w:tc>
          <w:tcPr>
            <w:tcW w:w="1134"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80,05</w:t>
            </w:r>
            <w:r w:rsidR="00A622F6">
              <w:rPr>
                <w:rFonts w:ascii="Calibri" w:eastAsia="Times New Roman" w:hAnsi="Calibri" w:cs="Times New Roman"/>
                <w:color w:val="000000"/>
                <w:lang w:eastAsia="is-IS"/>
              </w:rPr>
              <w:t xml:space="preserve"> %</w:t>
            </w:r>
          </w:p>
        </w:tc>
        <w:tc>
          <w:tcPr>
            <w:tcW w:w="1276"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80,05</w:t>
            </w:r>
            <w:r w:rsidR="00A622F6">
              <w:rPr>
                <w:rFonts w:ascii="Calibri" w:eastAsia="Times New Roman" w:hAnsi="Calibri" w:cs="Times New Roman"/>
                <w:color w:val="000000"/>
                <w:lang w:eastAsia="is-IS"/>
              </w:rPr>
              <w:t xml:space="preserve"> %</w:t>
            </w:r>
          </w:p>
        </w:tc>
        <w:tc>
          <w:tcPr>
            <w:tcW w:w="1134"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91,38</w:t>
            </w:r>
            <w:r w:rsidR="00A622F6">
              <w:rPr>
                <w:rFonts w:ascii="Calibri" w:eastAsia="Times New Roman" w:hAnsi="Calibri" w:cs="Times New Roman"/>
                <w:color w:val="000000"/>
                <w:lang w:eastAsia="is-IS"/>
              </w:rPr>
              <w:t xml:space="preserve"> %</w:t>
            </w:r>
          </w:p>
        </w:tc>
      </w:tr>
      <w:tr w:rsidR="00144608" w:rsidRPr="002703B8" w:rsidTr="004A2BFC">
        <w:trPr>
          <w:trHeight w:val="300"/>
          <w:jc w:val="center"/>
        </w:trPr>
        <w:tc>
          <w:tcPr>
            <w:tcW w:w="4245" w:type="dxa"/>
            <w:noWrap/>
            <w:hideMark/>
          </w:tcPr>
          <w:p w:rsidR="00144608" w:rsidRPr="002703B8" w:rsidRDefault="00A622F6" w:rsidP="002A787F">
            <w:pPr>
              <w:rPr>
                <w:rFonts w:ascii="Calibri" w:eastAsia="Times New Roman" w:hAnsi="Calibri" w:cs="Times New Roman"/>
                <w:color w:val="000000"/>
                <w:lang w:eastAsia="is-IS"/>
              </w:rPr>
            </w:pPr>
            <w:r>
              <w:rPr>
                <w:rFonts w:ascii="Calibri" w:eastAsia="Times New Roman" w:hAnsi="Calibri" w:cs="Times New Roman"/>
                <w:color w:val="000000"/>
                <w:lang w:eastAsia="is-IS"/>
              </w:rPr>
              <w:t xml:space="preserve">c) </w:t>
            </w:r>
            <w:r w:rsidR="00144608" w:rsidRPr="002703B8">
              <w:rPr>
                <w:rFonts w:ascii="Calibri" w:eastAsia="Times New Roman" w:hAnsi="Calibri" w:cs="Times New Roman"/>
                <w:color w:val="000000"/>
                <w:lang w:eastAsia="is-IS"/>
              </w:rPr>
              <w:t>Norðurland eystra og Austurland</w:t>
            </w:r>
          </w:p>
        </w:tc>
        <w:tc>
          <w:tcPr>
            <w:tcW w:w="1134"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81,73</w:t>
            </w:r>
            <w:r w:rsidR="00A622F6">
              <w:rPr>
                <w:rFonts w:ascii="Calibri" w:eastAsia="Times New Roman" w:hAnsi="Calibri" w:cs="Times New Roman"/>
                <w:color w:val="000000"/>
                <w:lang w:eastAsia="is-IS"/>
              </w:rPr>
              <w:t xml:space="preserve"> %</w:t>
            </w:r>
          </w:p>
        </w:tc>
        <w:tc>
          <w:tcPr>
            <w:tcW w:w="1276"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81,73</w:t>
            </w:r>
            <w:r w:rsidR="00A622F6">
              <w:rPr>
                <w:rFonts w:ascii="Calibri" w:eastAsia="Times New Roman" w:hAnsi="Calibri" w:cs="Times New Roman"/>
                <w:color w:val="000000"/>
                <w:lang w:eastAsia="is-IS"/>
              </w:rPr>
              <w:t xml:space="preserve"> %</w:t>
            </w:r>
          </w:p>
        </w:tc>
        <w:tc>
          <w:tcPr>
            <w:tcW w:w="1134"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93,69</w:t>
            </w:r>
            <w:r w:rsidR="00A622F6">
              <w:rPr>
                <w:rFonts w:ascii="Calibri" w:eastAsia="Times New Roman" w:hAnsi="Calibri" w:cs="Times New Roman"/>
                <w:color w:val="000000"/>
                <w:lang w:eastAsia="is-IS"/>
              </w:rPr>
              <w:t xml:space="preserve"> %</w:t>
            </w:r>
          </w:p>
        </w:tc>
      </w:tr>
      <w:tr w:rsidR="00144608" w:rsidRPr="002703B8" w:rsidTr="004A2BFC">
        <w:trPr>
          <w:trHeight w:val="300"/>
          <w:jc w:val="center"/>
        </w:trPr>
        <w:tc>
          <w:tcPr>
            <w:tcW w:w="4245" w:type="dxa"/>
            <w:noWrap/>
            <w:hideMark/>
          </w:tcPr>
          <w:p w:rsidR="00144608" w:rsidRPr="002703B8" w:rsidRDefault="00A622F6" w:rsidP="002A787F">
            <w:pPr>
              <w:rPr>
                <w:rFonts w:ascii="Calibri" w:eastAsia="Times New Roman" w:hAnsi="Calibri" w:cs="Times New Roman"/>
                <w:color w:val="000000"/>
                <w:lang w:eastAsia="is-IS"/>
              </w:rPr>
            </w:pPr>
            <w:r>
              <w:rPr>
                <w:rFonts w:ascii="Calibri" w:eastAsia="Times New Roman" w:hAnsi="Calibri" w:cs="Times New Roman"/>
                <w:color w:val="000000"/>
                <w:lang w:eastAsia="is-IS"/>
              </w:rPr>
              <w:t xml:space="preserve">d) </w:t>
            </w:r>
            <w:r w:rsidR="00144608" w:rsidRPr="002703B8">
              <w:rPr>
                <w:rFonts w:ascii="Calibri" w:eastAsia="Times New Roman" w:hAnsi="Calibri" w:cs="Times New Roman"/>
                <w:color w:val="000000"/>
                <w:lang w:eastAsia="is-IS"/>
              </w:rPr>
              <w:t>Suðurland og Suðurnes</w:t>
            </w:r>
          </w:p>
        </w:tc>
        <w:tc>
          <w:tcPr>
            <w:tcW w:w="1134"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95,04</w:t>
            </w:r>
            <w:r w:rsidR="00A622F6">
              <w:rPr>
                <w:rFonts w:ascii="Calibri" w:eastAsia="Times New Roman" w:hAnsi="Calibri" w:cs="Times New Roman"/>
                <w:color w:val="000000"/>
                <w:lang w:eastAsia="is-IS"/>
              </w:rPr>
              <w:t xml:space="preserve"> %</w:t>
            </w:r>
          </w:p>
        </w:tc>
        <w:tc>
          <w:tcPr>
            <w:tcW w:w="1276"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95,04</w:t>
            </w:r>
            <w:r w:rsidR="00A622F6">
              <w:rPr>
                <w:rFonts w:ascii="Calibri" w:eastAsia="Times New Roman" w:hAnsi="Calibri" w:cs="Times New Roman"/>
                <w:color w:val="000000"/>
                <w:lang w:eastAsia="is-IS"/>
              </w:rPr>
              <w:t xml:space="preserve"> %</w:t>
            </w:r>
          </w:p>
        </w:tc>
        <w:tc>
          <w:tcPr>
            <w:tcW w:w="1134" w:type="dxa"/>
            <w:noWrap/>
            <w:hideMark/>
          </w:tcPr>
          <w:p w:rsidR="00144608" w:rsidRPr="002703B8" w:rsidRDefault="00144608" w:rsidP="002A787F">
            <w:pPr>
              <w:jc w:val="center"/>
              <w:rPr>
                <w:rFonts w:ascii="Calibri" w:eastAsia="Times New Roman" w:hAnsi="Calibri" w:cs="Times New Roman"/>
                <w:color w:val="000000"/>
                <w:lang w:eastAsia="is-IS"/>
              </w:rPr>
            </w:pPr>
            <w:r w:rsidRPr="002703B8">
              <w:rPr>
                <w:rFonts w:ascii="Calibri" w:eastAsia="Times New Roman" w:hAnsi="Calibri" w:cs="Times New Roman"/>
                <w:color w:val="000000"/>
                <w:lang w:eastAsia="is-IS"/>
              </w:rPr>
              <w:t>95,75</w:t>
            </w:r>
            <w:r w:rsidR="00A622F6">
              <w:rPr>
                <w:rFonts w:ascii="Calibri" w:eastAsia="Times New Roman" w:hAnsi="Calibri" w:cs="Times New Roman"/>
                <w:color w:val="000000"/>
                <w:lang w:eastAsia="is-IS"/>
              </w:rPr>
              <w:t xml:space="preserve"> %</w:t>
            </w:r>
          </w:p>
        </w:tc>
      </w:tr>
    </w:tbl>
    <w:p w:rsidR="00144608" w:rsidRDefault="00144608" w:rsidP="00144608">
      <w:pPr>
        <w:rPr>
          <w:rFonts w:eastAsia="Times New Roman" w:cs="Times New Roman"/>
          <w:b/>
          <w:bCs/>
          <w:szCs w:val="24"/>
          <w:lang w:eastAsia="is-IS"/>
        </w:rPr>
      </w:pPr>
    </w:p>
    <w:p w:rsidR="0079293B" w:rsidRDefault="0079293B" w:rsidP="00144608">
      <w:pPr>
        <w:rPr>
          <w:rFonts w:eastAsia="Times New Roman" w:cs="Times New Roman"/>
          <w:bCs/>
          <w:szCs w:val="24"/>
          <w:lang w:eastAsia="is-IS"/>
        </w:rPr>
      </w:pPr>
      <w:r>
        <w:rPr>
          <w:rFonts w:eastAsia="Times New Roman" w:cs="Times New Roman"/>
          <w:bCs/>
          <w:szCs w:val="24"/>
          <w:lang w:eastAsia="is-IS"/>
        </w:rPr>
        <w:t>Tekið skal fram að fjarskiptafyrirtækin Nova ehf. og Fjarskipti ehf. (Vodafone) gerðu með sér samning um sameiginlega uppbyggingu og gagnkvæman reikiaðgang, en það skýrir sömu útbreiðslutölur fyrirtækjanna.</w:t>
      </w:r>
    </w:p>
    <w:p w:rsidR="0079293B" w:rsidRDefault="0079293B" w:rsidP="00144608">
      <w:pPr>
        <w:rPr>
          <w:rFonts w:eastAsia="Times New Roman" w:cs="Times New Roman"/>
          <w:bCs/>
          <w:szCs w:val="24"/>
          <w:lang w:eastAsia="is-IS"/>
        </w:rPr>
      </w:pPr>
    </w:p>
    <w:p w:rsidR="00D179F7" w:rsidRPr="00D179F7" w:rsidRDefault="00D179F7" w:rsidP="00144608">
      <w:pPr>
        <w:rPr>
          <w:rFonts w:eastAsia="Times New Roman" w:cs="Times New Roman"/>
          <w:bCs/>
          <w:i/>
          <w:szCs w:val="24"/>
          <w:lang w:eastAsia="is-IS"/>
        </w:rPr>
      </w:pPr>
      <w:r w:rsidRPr="00D179F7">
        <w:rPr>
          <w:rFonts w:eastAsia="Times New Roman" w:cs="Times New Roman"/>
          <w:bCs/>
          <w:i/>
          <w:szCs w:val="24"/>
          <w:lang w:eastAsia="is-IS"/>
        </w:rPr>
        <w:t>3.</w:t>
      </w:r>
      <w:r w:rsidR="00692B99">
        <w:rPr>
          <w:rFonts w:eastAsia="Times New Roman" w:cs="Times New Roman"/>
          <w:bCs/>
          <w:i/>
          <w:szCs w:val="24"/>
          <w:lang w:eastAsia="is-IS"/>
        </w:rPr>
        <w:t>4</w:t>
      </w:r>
      <w:r w:rsidRPr="00D179F7">
        <w:rPr>
          <w:rFonts w:eastAsia="Times New Roman" w:cs="Times New Roman"/>
          <w:bCs/>
          <w:i/>
          <w:szCs w:val="24"/>
          <w:lang w:eastAsia="is-IS"/>
        </w:rPr>
        <w:t>. Nýting óráðstafaðrar tíðniheimildar</w:t>
      </w:r>
    </w:p>
    <w:p w:rsidR="00187AA2" w:rsidRDefault="00394243" w:rsidP="00144608">
      <w:pPr>
        <w:rPr>
          <w:rFonts w:eastAsia="Times New Roman" w:cs="Times New Roman"/>
          <w:bCs/>
          <w:szCs w:val="24"/>
          <w:lang w:eastAsia="is-IS"/>
        </w:rPr>
      </w:pPr>
      <w:r>
        <w:rPr>
          <w:rFonts w:eastAsia="Times New Roman" w:cs="Times New Roman"/>
          <w:bCs/>
          <w:szCs w:val="24"/>
          <w:lang w:eastAsia="is-IS"/>
        </w:rPr>
        <w:t xml:space="preserve">Framangreindar þrjár tíðniúthlutanir voru staðsettar með þeim hætti í tíðnirófinu að sú tíðniheimild sem ekki gekk út gæti nýst til að stækka samfellt tíðnisvið þessara þriggja fjarskiptafyrirtækja síðar meir. Þannig liggur það tíðnisvið sem óráðstafað er ekki á samfelldu tíðnisviði eða </w:t>
      </w:r>
      <w:r w:rsidR="00D918B4">
        <w:rPr>
          <w:rFonts w:eastAsia="Times New Roman" w:cs="Times New Roman"/>
          <w:bCs/>
          <w:szCs w:val="24"/>
          <w:lang w:eastAsia="is-IS"/>
        </w:rPr>
        <w:t xml:space="preserve">á </w:t>
      </w:r>
      <w:r>
        <w:rPr>
          <w:rFonts w:eastAsia="Times New Roman" w:cs="Times New Roman"/>
          <w:bCs/>
          <w:szCs w:val="24"/>
          <w:lang w:eastAsia="is-IS"/>
        </w:rPr>
        <w:t>1905</w:t>
      </w:r>
      <w:r w:rsidR="007E72D8">
        <w:rPr>
          <w:rFonts w:eastAsia="Times New Roman" w:cs="Times New Roman"/>
          <w:bCs/>
          <w:szCs w:val="24"/>
          <w:lang w:eastAsia="is-IS"/>
        </w:rPr>
        <w:t>-</w:t>
      </w:r>
      <w:r>
        <w:rPr>
          <w:rFonts w:eastAsia="Times New Roman" w:cs="Times New Roman"/>
          <w:bCs/>
          <w:szCs w:val="24"/>
          <w:lang w:eastAsia="is-IS"/>
        </w:rPr>
        <w:t>1910, 1935</w:t>
      </w:r>
      <w:r w:rsidR="007E72D8">
        <w:rPr>
          <w:rFonts w:eastAsia="Times New Roman" w:cs="Times New Roman"/>
          <w:bCs/>
          <w:szCs w:val="24"/>
          <w:lang w:eastAsia="is-IS"/>
        </w:rPr>
        <w:t>-1945</w:t>
      </w:r>
      <w:r>
        <w:rPr>
          <w:rFonts w:eastAsia="Times New Roman" w:cs="Times New Roman"/>
          <w:bCs/>
          <w:szCs w:val="24"/>
          <w:lang w:eastAsia="is-IS"/>
        </w:rPr>
        <w:t xml:space="preserve">/2125-2130 og 1970-1980/2160-2170 MHz. Þetta útilokar þó ekki að hægt sé að </w:t>
      </w:r>
      <w:r w:rsidR="00D918B4">
        <w:rPr>
          <w:rFonts w:eastAsia="Times New Roman" w:cs="Times New Roman"/>
          <w:bCs/>
          <w:szCs w:val="24"/>
          <w:lang w:eastAsia="is-IS"/>
        </w:rPr>
        <w:t xml:space="preserve">úthluta </w:t>
      </w:r>
      <w:r>
        <w:rPr>
          <w:rFonts w:eastAsia="Times New Roman" w:cs="Times New Roman"/>
          <w:bCs/>
          <w:szCs w:val="24"/>
          <w:lang w:eastAsia="is-IS"/>
        </w:rPr>
        <w:t xml:space="preserve">tíðnisviðinu sem sjálfstæðri tíðniheimild, </w:t>
      </w:r>
      <w:r w:rsidR="00D918B4">
        <w:rPr>
          <w:rFonts w:eastAsia="Times New Roman" w:cs="Times New Roman"/>
          <w:bCs/>
          <w:szCs w:val="24"/>
          <w:lang w:eastAsia="is-IS"/>
        </w:rPr>
        <w:t xml:space="preserve">jafnvel til nýs aðila, </w:t>
      </w:r>
      <w:r>
        <w:rPr>
          <w:rFonts w:eastAsia="Times New Roman" w:cs="Times New Roman"/>
          <w:bCs/>
          <w:szCs w:val="24"/>
          <w:lang w:eastAsia="is-IS"/>
        </w:rPr>
        <w:t>en með þróun tækni er samfellt tíðnisvið ekki jafn brýn forsenda</w:t>
      </w:r>
      <w:r w:rsidR="00D918B4">
        <w:rPr>
          <w:rFonts w:eastAsia="Times New Roman" w:cs="Times New Roman"/>
          <w:bCs/>
          <w:szCs w:val="24"/>
          <w:lang w:eastAsia="is-IS"/>
        </w:rPr>
        <w:t xml:space="preserve"> og áður</w:t>
      </w:r>
      <w:r>
        <w:rPr>
          <w:rFonts w:eastAsia="Times New Roman" w:cs="Times New Roman"/>
          <w:bCs/>
          <w:szCs w:val="24"/>
          <w:lang w:eastAsia="is-IS"/>
        </w:rPr>
        <w:t xml:space="preserve">.      </w:t>
      </w:r>
    </w:p>
    <w:p w:rsidR="00187AA2" w:rsidRDefault="00187AA2" w:rsidP="00144608">
      <w:pPr>
        <w:rPr>
          <w:rFonts w:eastAsia="Times New Roman" w:cs="Times New Roman"/>
          <w:bCs/>
          <w:szCs w:val="24"/>
          <w:lang w:eastAsia="is-IS"/>
        </w:rPr>
      </w:pPr>
    </w:p>
    <w:p w:rsidR="00BF38FF" w:rsidRDefault="00394243" w:rsidP="00144608">
      <w:pPr>
        <w:rPr>
          <w:rFonts w:eastAsia="Times New Roman" w:cs="Times New Roman"/>
          <w:bCs/>
          <w:szCs w:val="24"/>
          <w:lang w:eastAsia="is-IS"/>
        </w:rPr>
      </w:pPr>
      <w:r>
        <w:rPr>
          <w:rFonts w:eastAsia="Times New Roman" w:cs="Times New Roman"/>
          <w:bCs/>
          <w:szCs w:val="24"/>
          <w:lang w:eastAsia="is-IS"/>
        </w:rPr>
        <w:t xml:space="preserve">Hins vegar </w:t>
      </w:r>
      <w:r w:rsidR="0079293B">
        <w:rPr>
          <w:rFonts w:eastAsia="Times New Roman" w:cs="Times New Roman"/>
          <w:bCs/>
          <w:szCs w:val="24"/>
          <w:lang w:eastAsia="is-IS"/>
        </w:rPr>
        <w:t xml:space="preserve">verður að telja </w:t>
      </w:r>
      <w:r w:rsidR="003D6388">
        <w:rPr>
          <w:rFonts w:eastAsia="Times New Roman" w:cs="Times New Roman"/>
          <w:bCs/>
          <w:szCs w:val="24"/>
          <w:lang w:eastAsia="is-IS"/>
        </w:rPr>
        <w:t xml:space="preserve">frekar </w:t>
      </w:r>
      <w:r w:rsidR="0079293B">
        <w:rPr>
          <w:rFonts w:eastAsia="Times New Roman" w:cs="Times New Roman"/>
          <w:bCs/>
          <w:szCs w:val="24"/>
          <w:lang w:eastAsia="is-IS"/>
        </w:rPr>
        <w:t xml:space="preserve">ólíklegt að </w:t>
      </w:r>
      <w:r>
        <w:rPr>
          <w:rFonts w:eastAsia="Times New Roman" w:cs="Times New Roman"/>
          <w:bCs/>
          <w:szCs w:val="24"/>
          <w:lang w:eastAsia="is-IS"/>
        </w:rPr>
        <w:t>óráðst</w:t>
      </w:r>
      <w:r w:rsidR="007E72D8">
        <w:rPr>
          <w:rFonts w:eastAsia="Times New Roman" w:cs="Times New Roman"/>
          <w:bCs/>
          <w:szCs w:val="24"/>
          <w:lang w:eastAsia="is-IS"/>
        </w:rPr>
        <w:t xml:space="preserve">afaðar </w:t>
      </w:r>
      <w:r>
        <w:rPr>
          <w:rFonts w:eastAsia="Times New Roman" w:cs="Times New Roman"/>
          <w:bCs/>
          <w:szCs w:val="24"/>
          <w:lang w:eastAsia="is-IS"/>
        </w:rPr>
        <w:t>tíðn</w:t>
      </w:r>
      <w:r w:rsidR="007E72D8">
        <w:rPr>
          <w:rFonts w:eastAsia="Times New Roman" w:cs="Times New Roman"/>
          <w:bCs/>
          <w:szCs w:val="24"/>
          <w:lang w:eastAsia="is-IS"/>
        </w:rPr>
        <w:t xml:space="preserve">ir </w:t>
      </w:r>
      <w:r>
        <w:rPr>
          <w:rFonts w:eastAsia="Times New Roman" w:cs="Times New Roman"/>
          <w:bCs/>
          <w:szCs w:val="24"/>
          <w:lang w:eastAsia="is-IS"/>
        </w:rPr>
        <w:t>á 2100 MHz tíðnisviðinu ve</w:t>
      </w:r>
      <w:r w:rsidR="0079293B">
        <w:rPr>
          <w:rFonts w:eastAsia="Times New Roman" w:cs="Times New Roman"/>
          <w:bCs/>
          <w:szCs w:val="24"/>
          <w:lang w:eastAsia="is-IS"/>
        </w:rPr>
        <w:t>rði nýtt</w:t>
      </w:r>
      <w:r>
        <w:rPr>
          <w:rFonts w:eastAsia="Times New Roman" w:cs="Times New Roman"/>
          <w:bCs/>
          <w:szCs w:val="24"/>
          <w:lang w:eastAsia="is-IS"/>
        </w:rPr>
        <w:t>ar</w:t>
      </w:r>
      <w:r w:rsidR="0079293B">
        <w:rPr>
          <w:rFonts w:eastAsia="Times New Roman" w:cs="Times New Roman"/>
          <w:bCs/>
          <w:szCs w:val="24"/>
          <w:lang w:eastAsia="is-IS"/>
        </w:rPr>
        <w:t xml:space="preserve"> til að ná sambærilegri útbreiðslu á farnetsþjónustu og þegar hefur verið náð af þeim þremur fjarskiptafyrirtækjum sem fengu úthlutað tíðniheimild í kjölfar útboðsins</w:t>
      </w:r>
      <w:r w:rsidR="00D918B4">
        <w:rPr>
          <w:rFonts w:eastAsia="Times New Roman" w:cs="Times New Roman"/>
          <w:bCs/>
          <w:szCs w:val="24"/>
          <w:lang w:eastAsia="is-IS"/>
        </w:rPr>
        <w:t xml:space="preserve">. Fremur má ætla að nýting tíðnanna, að hluta eða í heild, </w:t>
      </w:r>
      <w:r w:rsidR="0079293B">
        <w:rPr>
          <w:rFonts w:eastAsia="Times New Roman" w:cs="Times New Roman"/>
          <w:bCs/>
          <w:szCs w:val="24"/>
          <w:lang w:eastAsia="is-IS"/>
        </w:rPr>
        <w:t>væri fýsileg til þess</w:t>
      </w:r>
      <w:r w:rsidR="003D6388">
        <w:rPr>
          <w:rFonts w:eastAsia="Times New Roman" w:cs="Times New Roman"/>
          <w:bCs/>
          <w:szCs w:val="24"/>
          <w:lang w:eastAsia="is-IS"/>
        </w:rPr>
        <w:t xml:space="preserve"> að þétta útbreiðslu á </w:t>
      </w:r>
      <w:r w:rsidR="003D6388">
        <w:rPr>
          <w:rFonts w:eastAsia="Times New Roman" w:cs="Times New Roman"/>
          <w:bCs/>
          <w:szCs w:val="24"/>
          <w:lang w:eastAsia="is-IS"/>
        </w:rPr>
        <w:lastRenderedPageBreak/>
        <w:t xml:space="preserve">núverandi netum </w:t>
      </w:r>
      <w:r w:rsidR="00F203E5">
        <w:rPr>
          <w:rFonts w:eastAsia="Times New Roman" w:cs="Times New Roman"/>
          <w:bCs/>
          <w:szCs w:val="24"/>
          <w:lang w:eastAsia="is-IS"/>
        </w:rPr>
        <w:t xml:space="preserve">enn frekar </w:t>
      </w:r>
      <w:r w:rsidR="003D6388">
        <w:rPr>
          <w:rFonts w:eastAsia="Times New Roman" w:cs="Times New Roman"/>
          <w:bCs/>
          <w:szCs w:val="24"/>
          <w:lang w:eastAsia="is-IS"/>
        </w:rPr>
        <w:t xml:space="preserve">og auka möguleika til </w:t>
      </w:r>
      <w:r w:rsidR="00D179F7">
        <w:rPr>
          <w:rFonts w:eastAsia="Times New Roman" w:cs="Times New Roman"/>
          <w:bCs/>
          <w:szCs w:val="24"/>
          <w:lang w:eastAsia="is-IS"/>
        </w:rPr>
        <w:t xml:space="preserve">meiri </w:t>
      </w:r>
      <w:r w:rsidR="003D6388">
        <w:rPr>
          <w:rFonts w:eastAsia="Times New Roman" w:cs="Times New Roman"/>
          <w:bCs/>
          <w:szCs w:val="24"/>
          <w:lang w:eastAsia="is-IS"/>
        </w:rPr>
        <w:t xml:space="preserve">gagnaflutningshraða á tilteknum svæðum. </w:t>
      </w:r>
      <w:r w:rsidR="00D179F7">
        <w:rPr>
          <w:rFonts w:eastAsia="Times New Roman" w:cs="Times New Roman"/>
          <w:bCs/>
          <w:szCs w:val="24"/>
          <w:lang w:eastAsia="is-IS"/>
        </w:rPr>
        <w:t>Þetta er ein meginástæðan fyrir því að skynsamlegt þykir að fella á brott lög nr. 8/2005 um þriðju kynslóð farsíma, sem leggur þá kvöð á tíðnirétthafa að ná 60% eftir landssvæðum, sem þegar hefur verið náð samkvæmt framangreindu.</w:t>
      </w:r>
    </w:p>
    <w:p w:rsidR="00BF38FF" w:rsidRDefault="00BF38FF" w:rsidP="00144608">
      <w:pPr>
        <w:rPr>
          <w:rFonts w:eastAsia="Times New Roman" w:cs="Times New Roman"/>
          <w:bCs/>
          <w:szCs w:val="24"/>
          <w:lang w:eastAsia="is-IS"/>
        </w:rPr>
      </w:pPr>
    </w:p>
    <w:p w:rsidR="0079293B" w:rsidRPr="00BF38FF" w:rsidRDefault="00BF38FF" w:rsidP="00144608">
      <w:pPr>
        <w:rPr>
          <w:rFonts w:eastAsia="Times New Roman" w:cs="Times New Roman"/>
          <w:bCs/>
          <w:i/>
          <w:szCs w:val="24"/>
          <w:lang w:eastAsia="is-IS"/>
        </w:rPr>
      </w:pPr>
      <w:r w:rsidRPr="00BF38FF">
        <w:rPr>
          <w:rFonts w:eastAsia="Times New Roman" w:cs="Times New Roman"/>
          <w:bCs/>
          <w:i/>
          <w:szCs w:val="24"/>
          <w:lang w:eastAsia="is-IS"/>
        </w:rPr>
        <w:t>3.</w:t>
      </w:r>
      <w:r w:rsidR="00692B99">
        <w:rPr>
          <w:rFonts w:eastAsia="Times New Roman" w:cs="Times New Roman"/>
          <w:bCs/>
          <w:i/>
          <w:szCs w:val="24"/>
          <w:lang w:eastAsia="is-IS"/>
        </w:rPr>
        <w:t>5</w:t>
      </w:r>
      <w:r w:rsidRPr="00BF38FF">
        <w:rPr>
          <w:rFonts w:eastAsia="Times New Roman" w:cs="Times New Roman"/>
          <w:bCs/>
          <w:i/>
          <w:szCs w:val="24"/>
          <w:lang w:eastAsia="is-IS"/>
        </w:rPr>
        <w:t>. Samráð um framtíðarnýtingu 2100 MHz tíðnisviðsins</w:t>
      </w:r>
    </w:p>
    <w:p w:rsidR="00D76AAD" w:rsidRDefault="00D76AAD" w:rsidP="00C31DA0">
      <w:pPr>
        <w:rPr>
          <w:rFonts w:eastAsia="Times New Roman" w:cs="Times New Roman"/>
          <w:bCs/>
          <w:szCs w:val="24"/>
          <w:lang w:eastAsia="is-IS"/>
        </w:rPr>
      </w:pPr>
      <w:r>
        <w:rPr>
          <w:rFonts w:eastAsia="Times New Roman" w:cs="Times New Roman"/>
          <w:bCs/>
          <w:szCs w:val="24"/>
          <w:lang w:eastAsia="is-IS"/>
        </w:rPr>
        <w:t>Í maí 2015 efndi Póst- og fjarskiptastofnun til samráðs um framtíðarnýtingu tíðnisviða fyrir næstu kynslóðir farnetsþjónustna, þ.m.t. 2100 MHz tíðnisviðið. Var þátttaka hagsmunaaðila almennt góð, m.a. skiluðu öll starfandi farsímafyrirtæki inn umsögn. Samantekt á niðurstöðum samráðsins, auk afstöðu Póst- og fjarskiptastofnunar</w:t>
      </w:r>
      <w:r w:rsidR="002A6869">
        <w:rPr>
          <w:rFonts w:eastAsia="Times New Roman" w:cs="Times New Roman"/>
          <w:bCs/>
          <w:szCs w:val="24"/>
          <w:lang w:eastAsia="is-IS"/>
        </w:rPr>
        <w:t xml:space="preserve"> til athugasemda hagsmunaaðila</w:t>
      </w:r>
      <w:r>
        <w:rPr>
          <w:rFonts w:eastAsia="Times New Roman" w:cs="Times New Roman"/>
          <w:bCs/>
          <w:szCs w:val="24"/>
          <w:lang w:eastAsia="is-IS"/>
        </w:rPr>
        <w:t>, var birt í september 2015.</w:t>
      </w:r>
    </w:p>
    <w:p w:rsidR="00D76AAD" w:rsidRDefault="00D76AAD" w:rsidP="00C31DA0">
      <w:pPr>
        <w:rPr>
          <w:rFonts w:eastAsia="Times New Roman" w:cs="Times New Roman"/>
          <w:bCs/>
          <w:szCs w:val="24"/>
          <w:lang w:eastAsia="is-IS"/>
        </w:rPr>
      </w:pPr>
    </w:p>
    <w:p w:rsidR="00D76AAD" w:rsidRPr="002A6869" w:rsidRDefault="00D76AAD" w:rsidP="00D76AAD">
      <w:r w:rsidRPr="002A6869">
        <w:rPr>
          <w:rFonts w:eastAsia="Times New Roman" w:cs="Times New Roman"/>
          <w:bCs/>
          <w:szCs w:val="24"/>
          <w:lang w:eastAsia="is-IS"/>
        </w:rPr>
        <w:t>Hvað varðar framtíðarnýtingu á 2100 MHz tíðnisviðinu voru a</w:t>
      </w:r>
      <w:r w:rsidRPr="002A6869">
        <w:t xml:space="preserve">llir hagsmunaaðilar sammála um að ekkert mælti á móti því að fella úr gildi lög um þriðju kynslóð farsíma. Flestir höfðu hug á því að sækja um þær </w:t>
      </w:r>
      <w:r w:rsidR="002A6869" w:rsidRPr="002A6869">
        <w:t xml:space="preserve">tíðnir </w:t>
      </w:r>
      <w:r w:rsidRPr="002A6869">
        <w:t xml:space="preserve">sem eru </w:t>
      </w:r>
      <w:r w:rsidR="002A6869" w:rsidRPr="002A6869">
        <w:t xml:space="preserve">lausar </w:t>
      </w:r>
      <w:r w:rsidRPr="002A6869">
        <w:t xml:space="preserve">á 2100 MHz tíðnisviðinu. </w:t>
      </w:r>
      <w:r w:rsidR="002A6869" w:rsidRPr="002A6869">
        <w:t>Með</w:t>
      </w:r>
      <w:r w:rsidR="002A6869">
        <w:t>al</w:t>
      </w:r>
      <w:r w:rsidR="002A6869" w:rsidRPr="002A6869">
        <w:t xml:space="preserve"> þess sem kom fram í athug</w:t>
      </w:r>
      <w:r w:rsidR="00A36E32">
        <w:t>a</w:t>
      </w:r>
      <w:r w:rsidR="002A6869" w:rsidRPr="002A6869">
        <w:t xml:space="preserve">semdum </w:t>
      </w:r>
      <w:r w:rsidRPr="002A6869">
        <w:t>hagsmunaaðila</w:t>
      </w:r>
      <w:r w:rsidR="002A6869" w:rsidRPr="002A6869">
        <w:t xml:space="preserve"> var </w:t>
      </w:r>
      <w:r w:rsidRPr="002A6869">
        <w:t xml:space="preserve">að brýnt </w:t>
      </w:r>
      <w:r w:rsidR="002A6869" w:rsidRPr="002A6869">
        <w:t xml:space="preserve">sé </w:t>
      </w:r>
      <w:r w:rsidRPr="002A6869">
        <w:t>að gera tíðnisviðið tæknilega hlutlaust</w:t>
      </w:r>
      <w:r w:rsidR="002A6869" w:rsidRPr="002A6869">
        <w:t>,</w:t>
      </w:r>
      <w:r w:rsidRPr="002A6869">
        <w:t xml:space="preserve"> enda geri nútíma tæknilausnir farsímasenda mögulegt að nota ólíka aðgangstækni (2G, 3G og 4G) yfir sama sendinn séu sömu tíðnibönd notuð. Þá myndi slík aðgerð auka hagkvæmni og útbreiðslu dreifikerfisins.</w:t>
      </w:r>
    </w:p>
    <w:p w:rsidR="0079293B" w:rsidRPr="00D76AAD" w:rsidRDefault="0079293B" w:rsidP="00C31DA0">
      <w:pPr>
        <w:rPr>
          <w:rFonts w:eastAsia="Times New Roman" w:cs="Times New Roman"/>
          <w:bCs/>
          <w:szCs w:val="24"/>
          <w:lang w:eastAsia="is-IS"/>
        </w:rPr>
      </w:pPr>
    </w:p>
    <w:p w:rsidR="00274C1A" w:rsidRDefault="00274C1A" w:rsidP="00231A1E">
      <w:pPr>
        <w:rPr>
          <w:rFonts w:eastAsia="Times New Roman" w:cs="Times New Roman"/>
          <w:b/>
          <w:bCs/>
          <w:szCs w:val="24"/>
          <w:lang w:eastAsia="is-IS"/>
        </w:rPr>
      </w:pPr>
      <w:r>
        <w:rPr>
          <w:rFonts w:eastAsia="Times New Roman" w:cs="Times New Roman"/>
          <w:b/>
          <w:bCs/>
          <w:szCs w:val="24"/>
          <w:lang w:eastAsia="is-IS"/>
        </w:rPr>
        <w:t>IV. Þróun fjarskiptalöggjafar</w:t>
      </w:r>
      <w:r w:rsidR="001339D7">
        <w:rPr>
          <w:rFonts w:eastAsia="Times New Roman" w:cs="Times New Roman"/>
          <w:b/>
          <w:bCs/>
          <w:szCs w:val="24"/>
          <w:lang w:eastAsia="is-IS"/>
        </w:rPr>
        <w:t>.</w:t>
      </w:r>
    </w:p>
    <w:p w:rsidR="00AC792D" w:rsidRPr="00AC792D" w:rsidRDefault="00AC792D" w:rsidP="00FE66B8">
      <w:pPr>
        <w:jc w:val="left"/>
        <w:rPr>
          <w:rFonts w:eastAsia="Times New Roman" w:cs="Times New Roman"/>
          <w:i/>
          <w:szCs w:val="24"/>
          <w:lang w:eastAsia="is-IS"/>
        </w:rPr>
      </w:pPr>
      <w:r w:rsidRPr="00AC792D">
        <w:rPr>
          <w:rFonts w:eastAsia="Times New Roman" w:cs="Times New Roman"/>
          <w:i/>
          <w:szCs w:val="24"/>
          <w:lang w:eastAsia="is-IS"/>
        </w:rPr>
        <w:t>4.1</w:t>
      </w:r>
      <w:r w:rsidR="00A85D70">
        <w:rPr>
          <w:rFonts w:eastAsia="Times New Roman" w:cs="Times New Roman"/>
          <w:i/>
          <w:szCs w:val="24"/>
          <w:lang w:eastAsia="is-IS"/>
        </w:rPr>
        <w:t>.</w:t>
      </w:r>
      <w:r w:rsidRPr="00AC792D">
        <w:rPr>
          <w:rFonts w:eastAsia="Times New Roman" w:cs="Times New Roman"/>
          <w:i/>
          <w:szCs w:val="24"/>
          <w:lang w:eastAsia="is-IS"/>
        </w:rPr>
        <w:t xml:space="preserve"> </w:t>
      </w:r>
      <w:r w:rsidR="00A85D70">
        <w:rPr>
          <w:rFonts w:eastAsia="Times New Roman" w:cs="Times New Roman"/>
          <w:i/>
          <w:szCs w:val="24"/>
          <w:lang w:eastAsia="is-IS"/>
        </w:rPr>
        <w:t>Þörf fyrir sérákvæð</w:t>
      </w:r>
      <w:r w:rsidR="00FE349D">
        <w:rPr>
          <w:rFonts w:eastAsia="Times New Roman" w:cs="Times New Roman"/>
          <w:i/>
          <w:szCs w:val="24"/>
          <w:lang w:eastAsia="is-IS"/>
        </w:rPr>
        <w:t xml:space="preserve">i </w:t>
      </w:r>
      <w:r w:rsidR="00A85D70">
        <w:rPr>
          <w:rFonts w:eastAsia="Times New Roman" w:cs="Times New Roman"/>
          <w:i/>
          <w:szCs w:val="24"/>
          <w:lang w:eastAsia="is-IS"/>
        </w:rPr>
        <w:t xml:space="preserve">vegna tíðniúthlutana </w:t>
      </w:r>
    </w:p>
    <w:p w:rsidR="00AC792D" w:rsidRDefault="00AC792D" w:rsidP="00E91208">
      <w:pPr>
        <w:rPr>
          <w:rFonts w:eastAsia="Times New Roman" w:cs="Times New Roman"/>
          <w:szCs w:val="24"/>
          <w:lang w:eastAsia="is-IS"/>
        </w:rPr>
      </w:pPr>
      <w:r>
        <w:rPr>
          <w:rFonts w:eastAsia="Times New Roman" w:cs="Times New Roman"/>
          <w:szCs w:val="24"/>
          <w:lang w:eastAsia="is-IS"/>
        </w:rPr>
        <w:t xml:space="preserve">Í greinargerð frumvarpsins, sem varð að lögum nr. 8/2005 um þriðju kynslóð farsíma, var m.a. fjallað um þörfina fyrir </w:t>
      </w:r>
      <w:r w:rsidR="00A85D70">
        <w:rPr>
          <w:rFonts w:eastAsia="Times New Roman" w:cs="Times New Roman"/>
          <w:szCs w:val="24"/>
          <w:lang w:eastAsia="is-IS"/>
        </w:rPr>
        <w:t xml:space="preserve">því </w:t>
      </w:r>
      <w:r>
        <w:rPr>
          <w:rFonts w:eastAsia="Times New Roman" w:cs="Times New Roman"/>
          <w:szCs w:val="24"/>
          <w:lang w:eastAsia="is-IS"/>
        </w:rPr>
        <w:t xml:space="preserve">að setja sérstök lög um úthlutun vegna hennar og um tengsl laganna við almenn lög um fjarskipti nr. 81/2003:  </w:t>
      </w:r>
    </w:p>
    <w:p w:rsidR="00AC792D" w:rsidRDefault="00AC792D" w:rsidP="00FE66B8">
      <w:pPr>
        <w:jc w:val="left"/>
        <w:rPr>
          <w:rFonts w:eastAsia="Times New Roman" w:cs="Times New Roman"/>
          <w:szCs w:val="24"/>
          <w:lang w:eastAsia="is-IS"/>
        </w:rPr>
      </w:pPr>
    </w:p>
    <w:p w:rsidR="00AC792D" w:rsidRDefault="00AC792D" w:rsidP="00AC792D">
      <w:pPr>
        <w:ind w:left="567" w:right="567"/>
        <w:rPr>
          <w:rFonts w:eastAsia="Times New Roman" w:cs="Times New Roman"/>
          <w:szCs w:val="24"/>
          <w:lang w:eastAsia="is-IS"/>
        </w:rPr>
      </w:pPr>
      <w:r>
        <w:rPr>
          <w:rFonts w:eastAsia="Times New Roman" w:cs="Times New Roman"/>
          <w:szCs w:val="24"/>
          <w:lang w:eastAsia="is-IS"/>
        </w:rPr>
        <w:t>„</w:t>
      </w:r>
      <w:r w:rsidRPr="001A06D4">
        <w:rPr>
          <w:rFonts w:eastAsia="Times New Roman" w:cs="Times New Roman"/>
          <w:szCs w:val="24"/>
          <w:lang w:eastAsia="is-IS"/>
        </w:rPr>
        <w:t>Ný fjarskiptalög, nr. 81/2003, tóku gildi 25. júlí 2003</w:t>
      </w:r>
      <w:r>
        <w:rPr>
          <w:rFonts w:eastAsia="Times New Roman" w:cs="Times New Roman"/>
          <w:szCs w:val="24"/>
          <w:lang w:eastAsia="is-IS"/>
        </w:rPr>
        <w:t xml:space="preserve">. </w:t>
      </w:r>
      <w:r w:rsidR="00274C1A" w:rsidRPr="001A06D4">
        <w:rPr>
          <w:rFonts w:eastAsia="Times New Roman" w:cs="Times New Roman"/>
          <w:szCs w:val="24"/>
          <w:lang w:eastAsia="is-IS"/>
        </w:rPr>
        <w:t>Í lögunum er að finna almennar reglur um úthlutun tíðniréttinda til fjarskiptafyrirtækja, þ.m.t. fyrir farsímaþjónustu. Reglur þessar gilda eftir því sem við á einnig um tíðniúthlutanir fyrir farsíma af þriðju kynslóð. Samt sem áður er þörf á að setja sérstök lög um úthlutun þessara tíðniréttinda, til nánari útfærslu á ýmsum atriðum og til að tryggja heimildir til að leggja viðeigandi skyldur á rétthafa, m.a. varðandi útbreiðslu þjónustunnar og til innheimtu sérstaks gjalds fyrir afnotaréttinn. Þá þykir einnig rétt að tryggja hér enn frekar en gert er í fjarskiptalögum að við val á rétthöfum verði í sem minnstum mæli byggt á huglægum ákvörðunum yfirvalda.</w:t>
      </w:r>
      <w:r>
        <w:rPr>
          <w:rFonts w:eastAsia="Times New Roman" w:cs="Times New Roman"/>
          <w:szCs w:val="24"/>
          <w:lang w:eastAsia="is-IS"/>
        </w:rPr>
        <w:t>“</w:t>
      </w:r>
    </w:p>
    <w:p w:rsidR="00A36E32" w:rsidRDefault="00A36E32" w:rsidP="00AC792D">
      <w:pPr>
        <w:rPr>
          <w:rFonts w:eastAsia="Times New Roman" w:cs="Times New Roman"/>
          <w:szCs w:val="24"/>
          <w:lang w:eastAsia="is-IS"/>
        </w:rPr>
      </w:pPr>
    </w:p>
    <w:p w:rsidR="00274C1A" w:rsidRDefault="00A85D70" w:rsidP="00AC792D">
      <w:pPr>
        <w:rPr>
          <w:rFonts w:eastAsia="Times New Roman" w:cs="Times New Roman"/>
          <w:bCs/>
          <w:szCs w:val="24"/>
          <w:lang w:eastAsia="is-IS"/>
        </w:rPr>
      </w:pPr>
      <w:r>
        <w:rPr>
          <w:rFonts w:eastAsia="Times New Roman" w:cs="Times New Roman"/>
          <w:bCs/>
          <w:szCs w:val="24"/>
          <w:lang w:eastAsia="is-IS"/>
        </w:rPr>
        <w:t xml:space="preserve">Á þeim tíma sem lög nr. 8/2005 um þriðju kynslóð farsíma voru sett voru almenn fjarskiptalög um margt ófullnægjandi varðandi málsmeðferð og fyrirkomulag tíðniúthlutana. Verður því ekki dregið í efa að þörf hafi verið á því að styrkja lagagrundvöll til að mæla fyrir um íþyngjandi kvaðir í garð tíðnirétthafa, s.s. um endurgjald fyrir tíðniúthlutun og skuldbindinga um uppbygginu </w:t>
      </w:r>
      <w:r w:rsidR="00FE349D">
        <w:rPr>
          <w:rFonts w:eastAsia="Times New Roman" w:cs="Times New Roman"/>
          <w:bCs/>
          <w:szCs w:val="24"/>
          <w:lang w:eastAsia="is-IS"/>
        </w:rPr>
        <w:t xml:space="preserve">og </w:t>
      </w:r>
      <w:r>
        <w:rPr>
          <w:rFonts w:eastAsia="Times New Roman" w:cs="Times New Roman"/>
          <w:bCs/>
          <w:szCs w:val="24"/>
          <w:lang w:eastAsia="is-IS"/>
        </w:rPr>
        <w:t>útbreiðslu þjónustu. Aftur á móti hafa þ</w:t>
      </w:r>
      <w:r w:rsidR="00AC792D">
        <w:rPr>
          <w:rFonts w:eastAsia="Times New Roman" w:cs="Times New Roman"/>
          <w:bCs/>
          <w:szCs w:val="24"/>
          <w:lang w:eastAsia="is-IS"/>
        </w:rPr>
        <w:t>ær forsendur</w:t>
      </w:r>
      <w:r>
        <w:rPr>
          <w:rFonts w:eastAsia="Times New Roman" w:cs="Times New Roman"/>
          <w:bCs/>
          <w:szCs w:val="24"/>
          <w:lang w:eastAsia="is-IS"/>
        </w:rPr>
        <w:t xml:space="preserve">, sem vísað er til í tilvitnuðum texta, nú tekið breytingum. </w:t>
      </w:r>
    </w:p>
    <w:p w:rsidR="00A85D70" w:rsidRDefault="00A85D70" w:rsidP="00AC792D">
      <w:pPr>
        <w:rPr>
          <w:rFonts w:eastAsia="Times New Roman" w:cs="Times New Roman"/>
          <w:i/>
          <w:szCs w:val="24"/>
          <w:lang w:eastAsia="is-IS"/>
        </w:rPr>
      </w:pPr>
    </w:p>
    <w:p w:rsidR="00AC792D" w:rsidRDefault="00C643F9" w:rsidP="00AC792D">
      <w:pPr>
        <w:rPr>
          <w:rFonts w:eastAsia="Times New Roman" w:cs="Times New Roman"/>
          <w:bCs/>
          <w:szCs w:val="24"/>
          <w:lang w:eastAsia="is-IS"/>
        </w:rPr>
      </w:pPr>
      <w:r>
        <w:rPr>
          <w:rFonts w:eastAsia="Times New Roman" w:cs="Times New Roman"/>
          <w:i/>
          <w:szCs w:val="24"/>
          <w:lang w:eastAsia="is-IS"/>
        </w:rPr>
        <w:t>4</w:t>
      </w:r>
      <w:r w:rsidR="00A85D70">
        <w:rPr>
          <w:rFonts w:eastAsia="Times New Roman" w:cs="Times New Roman"/>
          <w:i/>
          <w:szCs w:val="24"/>
          <w:lang w:eastAsia="is-IS"/>
        </w:rPr>
        <w:t>.</w:t>
      </w:r>
      <w:r>
        <w:rPr>
          <w:rFonts w:eastAsia="Times New Roman" w:cs="Times New Roman"/>
          <w:i/>
          <w:szCs w:val="24"/>
          <w:lang w:eastAsia="is-IS"/>
        </w:rPr>
        <w:t>2</w:t>
      </w:r>
      <w:r w:rsidR="00A85D70">
        <w:rPr>
          <w:rFonts w:eastAsia="Times New Roman" w:cs="Times New Roman"/>
          <w:i/>
          <w:szCs w:val="24"/>
          <w:lang w:eastAsia="is-IS"/>
        </w:rPr>
        <w:t>. Endurskoðuð a</w:t>
      </w:r>
      <w:r w:rsidR="00A85D70" w:rsidRPr="00AC792D">
        <w:rPr>
          <w:rFonts w:eastAsia="Times New Roman" w:cs="Times New Roman"/>
          <w:i/>
          <w:szCs w:val="24"/>
          <w:lang w:eastAsia="is-IS"/>
        </w:rPr>
        <w:t>lmenn ákvæði um tíðniúthlutanir</w:t>
      </w:r>
    </w:p>
    <w:p w:rsidR="00AC792D" w:rsidRDefault="00525579" w:rsidP="00AC792D">
      <w:pPr>
        <w:rPr>
          <w:rFonts w:eastAsia="Times New Roman" w:cs="Times New Roman"/>
          <w:bCs/>
          <w:szCs w:val="24"/>
          <w:lang w:eastAsia="is-IS"/>
        </w:rPr>
      </w:pPr>
      <w:r>
        <w:rPr>
          <w:rFonts w:eastAsia="Times New Roman" w:cs="Times New Roman"/>
          <w:bCs/>
          <w:szCs w:val="24"/>
          <w:lang w:eastAsia="is-IS"/>
        </w:rPr>
        <w:t xml:space="preserve">Síðan að lög nr. 8/2005 um þriðju kynslóð farsíma voru sett á sínum </w:t>
      </w:r>
      <w:r w:rsidR="00C643F9">
        <w:rPr>
          <w:rFonts w:eastAsia="Times New Roman" w:cs="Times New Roman"/>
          <w:bCs/>
          <w:szCs w:val="24"/>
          <w:lang w:eastAsia="is-IS"/>
        </w:rPr>
        <w:t xml:space="preserve">tíma </w:t>
      </w:r>
      <w:r>
        <w:rPr>
          <w:rFonts w:eastAsia="Times New Roman" w:cs="Times New Roman"/>
          <w:bCs/>
          <w:szCs w:val="24"/>
          <w:lang w:eastAsia="is-IS"/>
        </w:rPr>
        <w:t>hafa verið gerðar gagngerar endurbætur á lögum um fjarskipti nr. 81/2003 hvað varðar umsýslu um tíðnimál, sbr. lög nr. 34/2011 um breytingu á fjarskiptalögum. Einn megintilgangur breytingalaganna var að skapa styrkari lagagrundvöll fyrir tíðniúthlutan</w:t>
      </w:r>
      <w:r w:rsidR="00D179F7">
        <w:rPr>
          <w:rFonts w:eastAsia="Times New Roman" w:cs="Times New Roman"/>
          <w:bCs/>
          <w:szCs w:val="24"/>
          <w:lang w:eastAsia="is-IS"/>
        </w:rPr>
        <w:t xml:space="preserve">ir </w:t>
      </w:r>
      <w:r>
        <w:rPr>
          <w:rFonts w:eastAsia="Times New Roman" w:cs="Times New Roman"/>
          <w:bCs/>
          <w:szCs w:val="24"/>
          <w:lang w:eastAsia="is-IS"/>
        </w:rPr>
        <w:t xml:space="preserve">með samkeppnisaðferð, sérstaklega hvað varðar </w:t>
      </w:r>
      <w:r w:rsidR="004A2BFC">
        <w:rPr>
          <w:rFonts w:eastAsia="Times New Roman" w:cs="Times New Roman"/>
          <w:bCs/>
          <w:szCs w:val="24"/>
          <w:lang w:eastAsia="is-IS"/>
        </w:rPr>
        <w:t xml:space="preserve">uppboð. </w:t>
      </w:r>
      <w:r w:rsidR="00D179F7">
        <w:rPr>
          <w:rFonts w:eastAsia="Times New Roman" w:cs="Times New Roman"/>
          <w:bCs/>
          <w:szCs w:val="24"/>
          <w:lang w:eastAsia="is-IS"/>
        </w:rPr>
        <w:t>Um þau meginsjónarmið sem bjuggu að baki lagabreytingunum þykir rétt að vísa í umfjöllun í greinargerð sem fylgdi frumvarpi laganna:</w:t>
      </w:r>
    </w:p>
    <w:p w:rsidR="00F64363" w:rsidRDefault="00F64363" w:rsidP="00AC792D">
      <w:pPr>
        <w:rPr>
          <w:rFonts w:eastAsia="Times New Roman" w:cs="Times New Roman"/>
          <w:bCs/>
          <w:szCs w:val="24"/>
          <w:lang w:eastAsia="is-IS"/>
        </w:rPr>
      </w:pPr>
    </w:p>
    <w:p w:rsidR="00F64363" w:rsidRDefault="00525579" w:rsidP="00D179F7">
      <w:pPr>
        <w:ind w:left="567" w:right="567"/>
        <w:rPr>
          <w:rFonts w:eastAsia="Times New Roman" w:cs="Times New Roman"/>
          <w:bCs/>
          <w:szCs w:val="24"/>
          <w:lang w:eastAsia="is-IS"/>
        </w:rPr>
      </w:pPr>
      <w:r>
        <w:t>„</w:t>
      </w:r>
      <w:r w:rsidR="00F64363">
        <w:t>Miklu máli skiptir að við úthlutun þessara gæða sé farið eftir hlutlægum og gagnsæjum sjónarmiðum á grundvelli fyrir fram ákveðinna reglna þannig að sem best verði tryggt að markmiðum um sanngirni og jafnræði sé náð. Að sama skapi þarf úthlutun tíðna að þjóna almannahagsmunum með tilliti til útbreiðslu og aðgengis að fjarskiptaþjónustu um landið allt. Skilvirk umsýsla með tíðnir ýtir undir tæknilega og efnahagslega framþróun í fjarskiptum og er því lagt til að dregið verði úr hömlum á tíðninotkun, m.a. er opnað fyrir möguleika á framsali eða leigu á tíðniréttindum. Um leið þarf að tryggja að stjórnun tíðna sé í samræmi við alþjóðlegar skuldbindingar en þær geta kveðið á um samræmda notkun tiltekinna tíðnisviða. Þá þarf að vera hægt að breyta tíðniréttindum eða jafnvel afturkalla þau í einstaka tilfellum og er því skilgreint hvenær slíkt getur komið til skoðunar.</w:t>
      </w:r>
      <w:r>
        <w:t>“</w:t>
      </w:r>
    </w:p>
    <w:p w:rsidR="00D540D6" w:rsidRDefault="00D540D6" w:rsidP="00AC792D">
      <w:pPr>
        <w:rPr>
          <w:rFonts w:eastAsia="Times New Roman" w:cs="Times New Roman"/>
          <w:bCs/>
          <w:szCs w:val="24"/>
          <w:lang w:eastAsia="is-IS"/>
        </w:rPr>
      </w:pPr>
    </w:p>
    <w:p w:rsidR="002407BF" w:rsidRDefault="00E6006B" w:rsidP="00AC792D">
      <w:pPr>
        <w:rPr>
          <w:rFonts w:eastAsia="Times New Roman" w:cs="Times New Roman"/>
          <w:bCs/>
          <w:szCs w:val="24"/>
          <w:lang w:eastAsia="is-IS"/>
        </w:rPr>
      </w:pPr>
      <w:r>
        <w:rPr>
          <w:rFonts w:eastAsia="Times New Roman" w:cs="Times New Roman"/>
          <w:bCs/>
          <w:szCs w:val="24"/>
          <w:lang w:eastAsia="is-IS"/>
        </w:rPr>
        <w:t xml:space="preserve">Með samþykkt breytingarlaganna skapaðist styrkari grundvöllur fyrir Póst- og fjarskiptastofnun </w:t>
      </w:r>
      <w:r w:rsidR="00C643F9">
        <w:rPr>
          <w:rFonts w:eastAsia="Times New Roman" w:cs="Times New Roman"/>
          <w:bCs/>
          <w:szCs w:val="24"/>
          <w:lang w:eastAsia="is-IS"/>
        </w:rPr>
        <w:t xml:space="preserve">til </w:t>
      </w:r>
      <w:r>
        <w:rPr>
          <w:rFonts w:eastAsia="Times New Roman" w:cs="Times New Roman"/>
          <w:bCs/>
          <w:szCs w:val="24"/>
          <w:lang w:eastAsia="is-IS"/>
        </w:rPr>
        <w:t xml:space="preserve">að úthluta tíðniheimildum samkvæmt samkeppnisaðferð og við að fylgja eftir skuldbindingum tilboðsgjafa þar að lútandi. Meðal þess sem </w:t>
      </w:r>
      <w:r w:rsidR="00187AA2">
        <w:rPr>
          <w:rFonts w:eastAsia="Times New Roman" w:cs="Times New Roman"/>
          <w:bCs/>
          <w:szCs w:val="24"/>
          <w:lang w:eastAsia="is-IS"/>
        </w:rPr>
        <w:t xml:space="preserve">fylgdi breytingarlögunum var reglugerðarheimild til þess að útfæra nánar reglur um skipulag og úthlutun tíðna. Hefur þessi reglugerð verið gefin út, sbr. </w:t>
      </w:r>
      <w:r w:rsidR="00187AA2" w:rsidRPr="00187AA2">
        <w:rPr>
          <w:rFonts w:eastAsia="Times New Roman" w:cs="Times New Roman"/>
          <w:bCs/>
          <w:i/>
          <w:szCs w:val="24"/>
          <w:lang w:eastAsia="is-IS"/>
        </w:rPr>
        <w:t>reglugerð nr. 1047/2011 um skipulag og úthlutun tíðna í fjarskiptum</w:t>
      </w:r>
      <w:r w:rsidR="00187AA2">
        <w:rPr>
          <w:rFonts w:eastAsia="Times New Roman" w:cs="Times New Roman"/>
          <w:bCs/>
          <w:szCs w:val="24"/>
          <w:lang w:eastAsia="is-IS"/>
        </w:rPr>
        <w:t xml:space="preserve">, en hún hefur </w:t>
      </w:r>
      <w:r w:rsidR="00BD1CE9">
        <w:rPr>
          <w:rFonts w:eastAsia="Times New Roman" w:cs="Times New Roman"/>
          <w:bCs/>
          <w:szCs w:val="24"/>
          <w:lang w:eastAsia="is-IS"/>
        </w:rPr>
        <w:t xml:space="preserve">m.a. </w:t>
      </w:r>
      <w:r w:rsidR="00187AA2">
        <w:rPr>
          <w:rFonts w:eastAsia="Times New Roman" w:cs="Times New Roman"/>
          <w:bCs/>
          <w:szCs w:val="24"/>
          <w:lang w:eastAsia="is-IS"/>
        </w:rPr>
        <w:t>að geyma ítarleg fyrirmæli um framkvæmd útboða og uppboða, s.s. um skilmála slíkra framkvæmda, hæfisskilyrði tilboðsgjafa, mat á efni tilboða, tímafresti og þess háttar. Meðal nýmæla sem fylgdu breytingalögunum og gerði Póst- og fjarskiptastofnun betur í stakk búna til þess að hanna og framkvæma úthlutunarferli með tilliti til þarf</w:t>
      </w:r>
      <w:r w:rsidR="00BD1CE9">
        <w:rPr>
          <w:rFonts w:eastAsia="Times New Roman" w:cs="Times New Roman"/>
          <w:bCs/>
          <w:szCs w:val="24"/>
          <w:lang w:eastAsia="is-IS"/>
        </w:rPr>
        <w:t xml:space="preserve">a </w:t>
      </w:r>
      <w:r w:rsidR="00187AA2">
        <w:rPr>
          <w:rFonts w:eastAsia="Times New Roman" w:cs="Times New Roman"/>
          <w:bCs/>
          <w:szCs w:val="24"/>
          <w:lang w:eastAsia="is-IS"/>
        </w:rPr>
        <w:t>markaðarins og almannahagsmuna var eftirfarandi:</w:t>
      </w:r>
    </w:p>
    <w:p w:rsidR="002407BF" w:rsidRDefault="002407BF" w:rsidP="00AC792D">
      <w:pPr>
        <w:rPr>
          <w:rFonts w:eastAsia="Times New Roman" w:cs="Times New Roman"/>
          <w:bCs/>
          <w:szCs w:val="24"/>
          <w:lang w:eastAsia="is-IS"/>
        </w:rPr>
      </w:pPr>
    </w:p>
    <w:p w:rsidR="002407BF" w:rsidRDefault="002407BF" w:rsidP="00702BF6">
      <w:pPr>
        <w:pStyle w:val="ListParagraph"/>
        <w:numPr>
          <w:ilvl w:val="0"/>
          <w:numId w:val="5"/>
        </w:numPr>
        <w:ind w:right="567"/>
        <w:rPr>
          <w:rFonts w:eastAsia="Times New Roman" w:cs="Times New Roman"/>
          <w:bCs/>
          <w:szCs w:val="24"/>
          <w:lang w:eastAsia="is-IS"/>
        </w:rPr>
      </w:pPr>
      <w:r>
        <w:rPr>
          <w:rFonts w:eastAsia="Times New Roman" w:cs="Times New Roman"/>
          <w:bCs/>
          <w:szCs w:val="24"/>
          <w:lang w:eastAsia="is-IS"/>
        </w:rPr>
        <w:t>Heimild til að mæla fyrir um lágmarkverð tíðniheimildar við uppboð</w:t>
      </w:r>
    </w:p>
    <w:p w:rsidR="002407BF" w:rsidRDefault="002407BF" w:rsidP="00702BF6">
      <w:pPr>
        <w:pStyle w:val="ListParagraph"/>
        <w:ind w:right="567"/>
        <w:rPr>
          <w:rFonts w:eastAsia="Times New Roman" w:cs="Times New Roman"/>
          <w:bCs/>
          <w:szCs w:val="24"/>
          <w:lang w:eastAsia="is-IS"/>
        </w:rPr>
      </w:pPr>
    </w:p>
    <w:p w:rsidR="002407BF" w:rsidRDefault="002407BF" w:rsidP="00702BF6">
      <w:pPr>
        <w:pStyle w:val="ListParagraph"/>
        <w:numPr>
          <w:ilvl w:val="0"/>
          <w:numId w:val="5"/>
        </w:numPr>
        <w:ind w:right="567"/>
        <w:rPr>
          <w:rFonts w:eastAsia="Times New Roman" w:cs="Times New Roman"/>
          <w:bCs/>
          <w:szCs w:val="24"/>
          <w:lang w:eastAsia="is-IS"/>
        </w:rPr>
      </w:pPr>
      <w:r>
        <w:rPr>
          <w:rFonts w:eastAsia="Times New Roman" w:cs="Times New Roman"/>
          <w:bCs/>
          <w:szCs w:val="24"/>
          <w:lang w:eastAsia="is-IS"/>
        </w:rPr>
        <w:t>Heimild til að veita afslátt af verði tíðniheimildar til að mæta markmiðum um útbreiðslu</w:t>
      </w:r>
    </w:p>
    <w:p w:rsidR="002407BF" w:rsidRPr="002407BF" w:rsidRDefault="002407BF" w:rsidP="00702BF6">
      <w:pPr>
        <w:pStyle w:val="ListParagraph"/>
        <w:ind w:right="567"/>
        <w:rPr>
          <w:rFonts w:eastAsia="Times New Roman" w:cs="Times New Roman"/>
          <w:bCs/>
          <w:szCs w:val="24"/>
          <w:lang w:eastAsia="is-IS"/>
        </w:rPr>
      </w:pPr>
    </w:p>
    <w:p w:rsidR="002407BF" w:rsidRDefault="002407BF" w:rsidP="00702BF6">
      <w:pPr>
        <w:pStyle w:val="ListParagraph"/>
        <w:numPr>
          <w:ilvl w:val="0"/>
          <w:numId w:val="5"/>
        </w:numPr>
        <w:ind w:right="567"/>
        <w:rPr>
          <w:rFonts w:eastAsia="Times New Roman" w:cs="Times New Roman"/>
          <w:bCs/>
          <w:szCs w:val="24"/>
          <w:lang w:eastAsia="is-IS"/>
        </w:rPr>
      </w:pPr>
      <w:r>
        <w:rPr>
          <w:rFonts w:eastAsia="Times New Roman" w:cs="Times New Roman"/>
          <w:bCs/>
          <w:szCs w:val="24"/>
          <w:lang w:eastAsia="is-IS"/>
        </w:rPr>
        <w:t>Heimild til þess að setja sérstök skilyrði varðandi hæfi tilboðsgjafa</w:t>
      </w:r>
    </w:p>
    <w:p w:rsidR="002407BF" w:rsidRPr="002407BF" w:rsidRDefault="002407BF" w:rsidP="00702BF6">
      <w:pPr>
        <w:pStyle w:val="ListParagraph"/>
        <w:ind w:right="567"/>
        <w:rPr>
          <w:rFonts w:eastAsia="Times New Roman" w:cs="Times New Roman"/>
          <w:bCs/>
          <w:szCs w:val="24"/>
          <w:lang w:eastAsia="is-IS"/>
        </w:rPr>
      </w:pPr>
    </w:p>
    <w:p w:rsidR="002407BF" w:rsidRDefault="002407BF" w:rsidP="00702BF6">
      <w:pPr>
        <w:pStyle w:val="ListParagraph"/>
        <w:numPr>
          <w:ilvl w:val="0"/>
          <w:numId w:val="5"/>
        </w:numPr>
        <w:ind w:right="567"/>
        <w:rPr>
          <w:rFonts w:eastAsia="Times New Roman" w:cs="Times New Roman"/>
          <w:bCs/>
          <w:szCs w:val="24"/>
          <w:lang w:eastAsia="is-IS"/>
        </w:rPr>
      </w:pPr>
      <w:r>
        <w:rPr>
          <w:rFonts w:eastAsia="Times New Roman" w:cs="Times New Roman"/>
          <w:bCs/>
          <w:szCs w:val="24"/>
          <w:lang w:eastAsia="is-IS"/>
        </w:rPr>
        <w:t>Heimild til þess að halda forval og lokuð útboð</w:t>
      </w:r>
    </w:p>
    <w:p w:rsidR="002407BF" w:rsidRPr="002407BF" w:rsidRDefault="002407BF" w:rsidP="00702BF6">
      <w:pPr>
        <w:pStyle w:val="ListParagraph"/>
        <w:ind w:right="567"/>
        <w:rPr>
          <w:rFonts w:eastAsia="Times New Roman" w:cs="Times New Roman"/>
          <w:bCs/>
          <w:szCs w:val="24"/>
          <w:lang w:eastAsia="is-IS"/>
        </w:rPr>
      </w:pPr>
    </w:p>
    <w:p w:rsidR="002407BF" w:rsidRDefault="002407BF" w:rsidP="00702BF6">
      <w:pPr>
        <w:pStyle w:val="ListParagraph"/>
        <w:numPr>
          <w:ilvl w:val="0"/>
          <w:numId w:val="5"/>
        </w:numPr>
        <w:ind w:right="567"/>
        <w:rPr>
          <w:rFonts w:eastAsia="Times New Roman" w:cs="Times New Roman"/>
          <w:bCs/>
          <w:szCs w:val="24"/>
          <w:lang w:eastAsia="is-IS"/>
        </w:rPr>
      </w:pPr>
      <w:r>
        <w:rPr>
          <w:rFonts w:eastAsia="Times New Roman" w:cs="Times New Roman"/>
          <w:bCs/>
          <w:szCs w:val="24"/>
          <w:lang w:eastAsia="is-IS"/>
        </w:rPr>
        <w:t>Heimild til að beita dagsektum til að fylgja eftir skuldbindingu</w:t>
      </w:r>
      <w:r w:rsidR="00220F27">
        <w:rPr>
          <w:rFonts w:eastAsia="Times New Roman" w:cs="Times New Roman"/>
          <w:bCs/>
          <w:szCs w:val="24"/>
          <w:lang w:eastAsia="is-IS"/>
        </w:rPr>
        <w:t>m</w:t>
      </w:r>
      <w:r>
        <w:rPr>
          <w:rFonts w:eastAsia="Times New Roman" w:cs="Times New Roman"/>
          <w:bCs/>
          <w:szCs w:val="24"/>
          <w:lang w:eastAsia="is-IS"/>
        </w:rPr>
        <w:t xml:space="preserve"> um útbreiðslu</w:t>
      </w:r>
    </w:p>
    <w:p w:rsidR="002407BF" w:rsidRPr="002407BF" w:rsidRDefault="002407BF" w:rsidP="00702BF6">
      <w:pPr>
        <w:pStyle w:val="ListParagraph"/>
        <w:ind w:right="567"/>
        <w:rPr>
          <w:rFonts w:eastAsia="Times New Roman" w:cs="Times New Roman"/>
          <w:bCs/>
          <w:szCs w:val="24"/>
          <w:lang w:eastAsia="is-IS"/>
        </w:rPr>
      </w:pPr>
    </w:p>
    <w:p w:rsidR="002407BF" w:rsidRDefault="002407BF" w:rsidP="00702BF6">
      <w:pPr>
        <w:pStyle w:val="ListParagraph"/>
        <w:numPr>
          <w:ilvl w:val="0"/>
          <w:numId w:val="5"/>
        </w:numPr>
        <w:ind w:right="567"/>
        <w:rPr>
          <w:rFonts w:eastAsia="Times New Roman" w:cs="Times New Roman"/>
          <w:bCs/>
          <w:szCs w:val="24"/>
          <w:lang w:eastAsia="is-IS"/>
        </w:rPr>
      </w:pPr>
      <w:r>
        <w:rPr>
          <w:rFonts w:eastAsia="Times New Roman" w:cs="Times New Roman"/>
          <w:bCs/>
          <w:szCs w:val="24"/>
          <w:lang w:eastAsia="is-IS"/>
        </w:rPr>
        <w:t>Skilgreining á viðmiðum til að leggja mat á tilboð í útboðum</w:t>
      </w:r>
    </w:p>
    <w:p w:rsidR="002407BF" w:rsidRPr="002407BF" w:rsidRDefault="002407BF" w:rsidP="002407BF">
      <w:pPr>
        <w:pStyle w:val="ListParagraph"/>
        <w:rPr>
          <w:rFonts w:eastAsia="Times New Roman" w:cs="Times New Roman"/>
          <w:bCs/>
          <w:szCs w:val="24"/>
          <w:lang w:eastAsia="is-IS"/>
        </w:rPr>
      </w:pPr>
    </w:p>
    <w:p w:rsidR="002407BF" w:rsidRDefault="002407BF" w:rsidP="002407BF">
      <w:pPr>
        <w:rPr>
          <w:rFonts w:eastAsia="Times New Roman" w:cs="Times New Roman"/>
          <w:bCs/>
          <w:szCs w:val="24"/>
          <w:lang w:eastAsia="is-IS"/>
        </w:rPr>
      </w:pPr>
      <w:r>
        <w:rPr>
          <w:rFonts w:eastAsia="Times New Roman" w:cs="Times New Roman"/>
          <w:bCs/>
          <w:szCs w:val="24"/>
          <w:lang w:eastAsia="is-IS"/>
        </w:rPr>
        <w:t xml:space="preserve">Með þessum breytingum er Póst- og fjarskiptastofnun nú almennt kleift að úthluta tíðnum með samsvarandi hætti og gert var ráð fyrir í lögum nr. 8/2005 um þriðju kynslóð farsíma. Hafa þó nokkrar tíðniheimildir verið úthlutaðar á grundvelli nýju reglnanna, m.a. í uppboði á tíðniheimildum á 800 og 1800 MHz tíðnisviðunum sem haldið var í upphafi árs 2013.  </w:t>
      </w:r>
    </w:p>
    <w:p w:rsidR="00D540D6" w:rsidRPr="002407BF" w:rsidRDefault="002407BF" w:rsidP="002407BF">
      <w:pPr>
        <w:rPr>
          <w:rFonts w:eastAsia="Times New Roman" w:cs="Times New Roman"/>
          <w:bCs/>
          <w:szCs w:val="24"/>
          <w:lang w:eastAsia="is-IS"/>
        </w:rPr>
      </w:pPr>
      <w:r w:rsidRPr="002407BF">
        <w:rPr>
          <w:rFonts w:eastAsia="Times New Roman" w:cs="Times New Roman"/>
          <w:bCs/>
          <w:szCs w:val="24"/>
          <w:lang w:eastAsia="is-IS"/>
        </w:rPr>
        <w:t xml:space="preserve">  </w:t>
      </w:r>
      <w:r w:rsidR="00187AA2" w:rsidRPr="002407BF">
        <w:rPr>
          <w:rFonts w:eastAsia="Times New Roman" w:cs="Times New Roman"/>
          <w:bCs/>
          <w:szCs w:val="24"/>
          <w:lang w:eastAsia="is-IS"/>
        </w:rPr>
        <w:t xml:space="preserve">  </w:t>
      </w:r>
      <w:r w:rsidR="00E6006B" w:rsidRPr="002407BF">
        <w:rPr>
          <w:rFonts w:eastAsia="Times New Roman" w:cs="Times New Roman"/>
          <w:bCs/>
          <w:szCs w:val="24"/>
          <w:lang w:eastAsia="is-IS"/>
        </w:rPr>
        <w:t xml:space="preserve"> </w:t>
      </w:r>
    </w:p>
    <w:p w:rsidR="000D6816" w:rsidRDefault="00274C1A" w:rsidP="00C53D7D">
      <w:pPr>
        <w:rPr>
          <w:rFonts w:eastAsia="Times New Roman" w:cs="Times New Roman"/>
          <w:bCs/>
          <w:szCs w:val="24"/>
          <w:lang w:eastAsia="is-IS"/>
        </w:rPr>
      </w:pPr>
      <w:r>
        <w:rPr>
          <w:rFonts w:eastAsia="Times New Roman" w:cs="Times New Roman"/>
          <w:b/>
          <w:bCs/>
          <w:szCs w:val="24"/>
          <w:lang w:eastAsia="is-IS"/>
        </w:rPr>
        <w:t>V. Markmið og tilefni lagasetningar</w:t>
      </w:r>
      <w:r w:rsidR="001339D7">
        <w:rPr>
          <w:rFonts w:eastAsia="Times New Roman" w:cs="Times New Roman"/>
          <w:b/>
          <w:bCs/>
          <w:szCs w:val="24"/>
          <w:lang w:eastAsia="is-IS"/>
        </w:rPr>
        <w:t>.</w:t>
      </w:r>
    </w:p>
    <w:p w:rsidR="000F5ED3" w:rsidRDefault="00C53D7D" w:rsidP="00C53D7D">
      <w:pPr>
        <w:rPr>
          <w:rFonts w:eastAsia="Times New Roman" w:cs="Times New Roman"/>
          <w:bCs/>
          <w:szCs w:val="24"/>
          <w:lang w:eastAsia="is-IS"/>
        </w:rPr>
      </w:pPr>
      <w:r>
        <w:rPr>
          <w:rFonts w:eastAsia="Times New Roman" w:cs="Times New Roman"/>
          <w:bCs/>
          <w:szCs w:val="24"/>
          <w:lang w:eastAsia="is-IS"/>
        </w:rPr>
        <w:t xml:space="preserve">Markmið frumvarpsins er, eins og áður segir, að ryðja úr vegi ákveðnum skorðum sem núverandi lög nr. 8/2005 </w:t>
      </w:r>
      <w:r w:rsidR="001E4672">
        <w:rPr>
          <w:rFonts w:eastAsia="Times New Roman" w:cs="Times New Roman"/>
          <w:bCs/>
          <w:szCs w:val="24"/>
          <w:lang w:eastAsia="is-IS"/>
        </w:rPr>
        <w:t xml:space="preserve">um þriðju kynslóð farsíma </w:t>
      </w:r>
      <w:r>
        <w:rPr>
          <w:rFonts w:eastAsia="Times New Roman" w:cs="Times New Roman"/>
          <w:bCs/>
          <w:szCs w:val="24"/>
          <w:lang w:eastAsia="is-IS"/>
        </w:rPr>
        <w:t>setja um úthlutun og nýtingu á 2100 MHz tíðnisviðinu og færa reglur sem um það gilda til samræmis við þróun alþjóðlegra skuldbindinga, einkum vegna EES-samstarfsins. Rétt þykir að gera grein fyrir því í samandregnu formi hvaða atriði það eru helst</w:t>
      </w:r>
      <w:r w:rsidR="001E4672">
        <w:rPr>
          <w:rFonts w:eastAsia="Times New Roman" w:cs="Times New Roman"/>
          <w:bCs/>
          <w:szCs w:val="24"/>
          <w:lang w:eastAsia="is-IS"/>
        </w:rPr>
        <w:t xml:space="preserve"> sem s</w:t>
      </w:r>
      <w:r w:rsidR="000F5ED3">
        <w:rPr>
          <w:rFonts w:eastAsia="Times New Roman" w:cs="Times New Roman"/>
          <w:bCs/>
          <w:szCs w:val="24"/>
          <w:lang w:eastAsia="is-IS"/>
        </w:rPr>
        <w:t>tanda í veginum fyrir úthlutun og skilvirkri nýtingu á því tíðnisviði sem enn er óráðstafað á 2100 MHz tíðnisviðinu:</w:t>
      </w:r>
    </w:p>
    <w:p w:rsidR="000F5ED3" w:rsidRDefault="000F5ED3" w:rsidP="00C53D7D">
      <w:pPr>
        <w:rPr>
          <w:rFonts w:eastAsia="Times New Roman" w:cs="Times New Roman"/>
          <w:bCs/>
          <w:szCs w:val="24"/>
          <w:lang w:eastAsia="is-IS"/>
        </w:rPr>
      </w:pPr>
    </w:p>
    <w:p w:rsidR="000F5ED3" w:rsidRDefault="000F5ED3" w:rsidP="00BC157B">
      <w:pPr>
        <w:pStyle w:val="ListParagraph"/>
        <w:numPr>
          <w:ilvl w:val="0"/>
          <w:numId w:val="4"/>
        </w:numPr>
        <w:ind w:right="567"/>
        <w:rPr>
          <w:rFonts w:eastAsia="Times New Roman" w:cs="Times New Roman"/>
          <w:bCs/>
          <w:szCs w:val="24"/>
          <w:lang w:eastAsia="is-IS"/>
        </w:rPr>
      </w:pPr>
      <w:r>
        <w:rPr>
          <w:rFonts w:eastAsia="Times New Roman" w:cs="Times New Roman"/>
          <w:bCs/>
          <w:szCs w:val="24"/>
          <w:lang w:eastAsia="is-IS"/>
        </w:rPr>
        <w:t>Nýting á tíðnisviðinu er bundin við þriðju kynslóð farsímaþjónustu</w:t>
      </w:r>
      <w:r w:rsidR="00BC157B">
        <w:rPr>
          <w:rFonts w:eastAsia="Times New Roman" w:cs="Times New Roman"/>
          <w:bCs/>
          <w:szCs w:val="24"/>
          <w:lang w:eastAsia="is-IS"/>
        </w:rPr>
        <w:t>, þ.e. tíðnisviðið er ekki tæknilega hlutlaust</w:t>
      </w:r>
    </w:p>
    <w:p w:rsidR="00905925" w:rsidRDefault="00905925" w:rsidP="00905925">
      <w:pPr>
        <w:pStyle w:val="ListParagraph"/>
        <w:ind w:right="567"/>
        <w:rPr>
          <w:rFonts w:eastAsia="Times New Roman" w:cs="Times New Roman"/>
          <w:bCs/>
          <w:szCs w:val="24"/>
          <w:lang w:eastAsia="is-IS"/>
        </w:rPr>
      </w:pPr>
    </w:p>
    <w:p w:rsidR="00905925" w:rsidRDefault="000F5ED3" w:rsidP="00BC157B">
      <w:pPr>
        <w:pStyle w:val="ListParagraph"/>
        <w:numPr>
          <w:ilvl w:val="0"/>
          <w:numId w:val="4"/>
        </w:numPr>
        <w:ind w:right="567"/>
        <w:rPr>
          <w:rFonts w:eastAsia="Times New Roman" w:cs="Times New Roman"/>
          <w:bCs/>
          <w:szCs w:val="24"/>
          <w:lang w:eastAsia="is-IS"/>
        </w:rPr>
      </w:pPr>
      <w:r>
        <w:rPr>
          <w:rFonts w:eastAsia="Times New Roman" w:cs="Times New Roman"/>
          <w:bCs/>
          <w:szCs w:val="24"/>
          <w:lang w:eastAsia="is-IS"/>
        </w:rPr>
        <w:t>Úthluta skal tíðniheimildum með útboði, en það kemur t.d. í veg fyrir úthlutun samkvæmt uppboði</w:t>
      </w:r>
    </w:p>
    <w:p w:rsidR="00905925" w:rsidRPr="00905925" w:rsidRDefault="00905925" w:rsidP="00905925">
      <w:pPr>
        <w:pStyle w:val="ListParagraph"/>
        <w:rPr>
          <w:rFonts w:eastAsia="Times New Roman" w:cs="Times New Roman"/>
          <w:bCs/>
          <w:szCs w:val="24"/>
          <w:lang w:eastAsia="is-IS"/>
        </w:rPr>
      </w:pPr>
    </w:p>
    <w:p w:rsidR="000F5ED3" w:rsidRDefault="000F5ED3" w:rsidP="00BC157B">
      <w:pPr>
        <w:pStyle w:val="ListParagraph"/>
        <w:numPr>
          <w:ilvl w:val="0"/>
          <w:numId w:val="4"/>
        </w:numPr>
        <w:ind w:right="567"/>
        <w:rPr>
          <w:rFonts w:eastAsia="Times New Roman" w:cs="Times New Roman"/>
          <w:bCs/>
          <w:szCs w:val="24"/>
          <w:lang w:eastAsia="is-IS"/>
        </w:rPr>
      </w:pPr>
      <w:r>
        <w:rPr>
          <w:rFonts w:eastAsia="Times New Roman" w:cs="Times New Roman"/>
          <w:bCs/>
          <w:szCs w:val="24"/>
          <w:lang w:eastAsia="is-IS"/>
        </w:rPr>
        <w:t>Gerðar eru viðamiklar kvaðir um útbreiðslu þjónustunnar sem þegar hefur verið náð</w:t>
      </w:r>
    </w:p>
    <w:p w:rsidR="00905925" w:rsidRPr="00905925" w:rsidRDefault="00905925" w:rsidP="00905925">
      <w:pPr>
        <w:pStyle w:val="ListParagraph"/>
        <w:rPr>
          <w:rFonts w:eastAsia="Times New Roman" w:cs="Times New Roman"/>
          <w:bCs/>
          <w:szCs w:val="24"/>
          <w:lang w:eastAsia="is-IS"/>
        </w:rPr>
      </w:pPr>
    </w:p>
    <w:p w:rsidR="000F5ED3" w:rsidRDefault="000F5ED3" w:rsidP="00BC157B">
      <w:pPr>
        <w:pStyle w:val="ListParagraph"/>
        <w:numPr>
          <w:ilvl w:val="0"/>
          <w:numId w:val="4"/>
        </w:numPr>
        <w:ind w:right="567"/>
        <w:rPr>
          <w:rFonts w:eastAsia="Times New Roman" w:cs="Times New Roman"/>
          <w:bCs/>
          <w:szCs w:val="24"/>
          <w:lang w:eastAsia="is-IS"/>
        </w:rPr>
      </w:pPr>
      <w:r>
        <w:rPr>
          <w:rFonts w:eastAsia="Times New Roman" w:cs="Times New Roman"/>
          <w:bCs/>
          <w:szCs w:val="24"/>
          <w:lang w:eastAsia="is-IS"/>
        </w:rPr>
        <w:t>Verð fyrir tíðniheimild</w:t>
      </w:r>
      <w:r w:rsidR="00BD1CE9">
        <w:rPr>
          <w:rFonts w:eastAsia="Times New Roman" w:cs="Times New Roman"/>
          <w:bCs/>
          <w:szCs w:val="24"/>
          <w:lang w:eastAsia="is-IS"/>
        </w:rPr>
        <w:t xml:space="preserve"> er fastákveðið og miðast við útbreiðslu. Með fullum afslætti er verð </w:t>
      </w:r>
      <w:r>
        <w:rPr>
          <w:rFonts w:eastAsia="Times New Roman" w:cs="Times New Roman"/>
          <w:bCs/>
          <w:szCs w:val="24"/>
          <w:lang w:eastAsia="is-IS"/>
        </w:rPr>
        <w:t>að lágmarki 40 milljónir króna</w:t>
      </w:r>
      <w:r w:rsidR="00BD1CE9">
        <w:rPr>
          <w:rFonts w:eastAsia="Times New Roman" w:cs="Times New Roman"/>
          <w:bCs/>
          <w:szCs w:val="24"/>
          <w:lang w:eastAsia="is-IS"/>
        </w:rPr>
        <w:t>. V</w:t>
      </w:r>
      <w:r>
        <w:rPr>
          <w:rFonts w:eastAsia="Times New Roman" w:cs="Times New Roman"/>
          <w:bCs/>
          <w:szCs w:val="24"/>
          <w:lang w:eastAsia="is-IS"/>
        </w:rPr>
        <w:t>erð</w:t>
      </w:r>
      <w:r w:rsidR="00BD1CE9">
        <w:rPr>
          <w:rFonts w:eastAsia="Times New Roman" w:cs="Times New Roman"/>
          <w:bCs/>
          <w:szCs w:val="24"/>
          <w:lang w:eastAsia="is-IS"/>
        </w:rPr>
        <w:t xml:space="preserve"> getur þannig </w:t>
      </w:r>
      <w:r>
        <w:rPr>
          <w:rFonts w:eastAsia="Times New Roman" w:cs="Times New Roman"/>
          <w:bCs/>
          <w:szCs w:val="24"/>
          <w:lang w:eastAsia="is-IS"/>
        </w:rPr>
        <w:t>ekki ráðist á markaðsforsendum, t.d. með framkvæmd uppboðs</w:t>
      </w:r>
    </w:p>
    <w:p w:rsidR="00905925" w:rsidRPr="00905925" w:rsidRDefault="00905925" w:rsidP="00905925">
      <w:pPr>
        <w:pStyle w:val="ListParagraph"/>
        <w:rPr>
          <w:rFonts w:eastAsia="Times New Roman" w:cs="Times New Roman"/>
          <w:bCs/>
          <w:szCs w:val="24"/>
          <w:lang w:eastAsia="is-IS"/>
        </w:rPr>
      </w:pPr>
    </w:p>
    <w:p w:rsidR="00C53D7D" w:rsidRPr="000F5ED3" w:rsidRDefault="000F5ED3" w:rsidP="00BC157B">
      <w:pPr>
        <w:pStyle w:val="ListParagraph"/>
        <w:numPr>
          <w:ilvl w:val="0"/>
          <w:numId w:val="4"/>
        </w:numPr>
        <w:ind w:right="567"/>
        <w:rPr>
          <w:rFonts w:eastAsia="Times New Roman" w:cs="Times New Roman"/>
          <w:bCs/>
          <w:szCs w:val="24"/>
          <w:lang w:eastAsia="is-IS"/>
        </w:rPr>
      </w:pPr>
      <w:r>
        <w:rPr>
          <w:rFonts w:eastAsia="Times New Roman" w:cs="Times New Roman"/>
          <w:bCs/>
          <w:szCs w:val="24"/>
          <w:lang w:eastAsia="is-IS"/>
        </w:rPr>
        <w:t>Gildistími úthlutunar er lögákveðinn til 15 ára</w:t>
      </w:r>
      <w:r w:rsidR="00EE1EE8">
        <w:rPr>
          <w:rFonts w:eastAsia="Times New Roman" w:cs="Times New Roman"/>
          <w:bCs/>
          <w:szCs w:val="24"/>
          <w:lang w:eastAsia="is-IS"/>
        </w:rPr>
        <w:t>. M</w:t>
      </w:r>
      <w:r>
        <w:rPr>
          <w:rFonts w:eastAsia="Times New Roman" w:cs="Times New Roman"/>
          <w:bCs/>
          <w:szCs w:val="24"/>
          <w:lang w:eastAsia="is-IS"/>
        </w:rPr>
        <w:t xml:space="preserve">eð því er ekki hægt að ákveða gildistíma til skemmri eða lengri tíma til samræmis við þær kvaðir sem rétt þykir að </w:t>
      </w:r>
      <w:r w:rsidR="00905925">
        <w:rPr>
          <w:rFonts w:eastAsia="Times New Roman" w:cs="Times New Roman"/>
          <w:bCs/>
          <w:szCs w:val="24"/>
          <w:lang w:eastAsia="is-IS"/>
        </w:rPr>
        <w:t>binda tíðniheimild</w:t>
      </w:r>
      <w:r>
        <w:rPr>
          <w:rFonts w:eastAsia="Times New Roman" w:cs="Times New Roman"/>
          <w:bCs/>
          <w:szCs w:val="24"/>
          <w:lang w:eastAsia="is-IS"/>
        </w:rPr>
        <w:t xml:space="preserve">      </w:t>
      </w:r>
      <w:r w:rsidR="001E4672" w:rsidRPr="000F5ED3">
        <w:rPr>
          <w:rFonts w:eastAsia="Times New Roman" w:cs="Times New Roman"/>
          <w:bCs/>
          <w:szCs w:val="24"/>
          <w:lang w:eastAsia="is-IS"/>
        </w:rPr>
        <w:t xml:space="preserve"> </w:t>
      </w:r>
      <w:r w:rsidR="00C53D7D" w:rsidRPr="000F5ED3">
        <w:rPr>
          <w:rFonts w:eastAsia="Times New Roman" w:cs="Times New Roman"/>
          <w:bCs/>
          <w:szCs w:val="24"/>
          <w:lang w:eastAsia="is-IS"/>
        </w:rPr>
        <w:t xml:space="preserve">    </w:t>
      </w:r>
    </w:p>
    <w:p w:rsidR="001E4672" w:rsidRDefault="001E4672" w:rsidP="00FE66B8">
      <w:pPr>
        <w:jc w:val="center"/>
        <w:rPr>
          <w:rFonts w:eastAsia="Times New Roman" w:cs="Times New Roman"/>
          <w:b/>
          <w:bCs/>
          <w:szCs w:val="24"/>
          <w:lang w:eastAsia="is-IS"/>
        </w:rPr>
      </w:pPr>
    </w:p>
    <w:p w:rsidR="00905925" w:rsidRPr="00905925" w:rsidRDefault="00905925" w:rsidP="00905925">
      <w:pPr>
        <w:rPr>
          <w:rFonts w:eastAsia="Times New Roman" w:cs="Times New Roman"/>
          <w:bCs/>
          <w:szCs w:val="24"/>
          <w:lang w:eastAsia="is-IS"/>
        </w:rPr>
      </w:pPr>
      <w:r>
        <w:rPr>
          <w:rFonts w:eastAsia="Times New Roman" w:cs="Times New Roman"/>
          <w:bCs/>
          <w:szCs w:val="24"/>
          <w:lang w:eastAsia="is-IS"/>
        </w:rPr>
        <w:t xml:space="preserve">Þá ber að hafa í huga </w:t>
      </w:r>
      <w:r w:rsidR="00CE2759">
        <w:rPr>
          <w:rFonts w:eastAsia="Times New Roman" w:cs="Times New Roman"/>
          <w:bCs/>
          <w:szCs w:val="24"/>
          <w:lang w:eastAsia="is-IS"/>
        </w:rPr>
        <w:t>að með frumvarpinu er ekki eingöngu verið að horfa til þeirra</w:t>
      </w:r>
      <w:r w:rsidR="00FB480F">
        <w:rPr>
          <w:rFonts w:eastAsia="Times New Roman" w:cs="Times New Roman"/>
          <w:bCs/>
          <w:szCs w:val="24"/>
          <w:lang w:eastAsia="is-IS"/>
        </w:rPr>
        <w:t xml:space="preserve"> </w:t>
      </w:r>
      <w:r w:rsidR="00CE2759">
        <w:rPr>
          <w:rFonts w:eastAsia="Times New Roman" w:cs="Times New Roman"/>
          <w:bCs/>
          <w:szCs w:val="24"/>
          <w:lang w:eastAsia="is-IS"/>
        </w:rPr>
        <w:t>tíðn</w:t>
      </w:r>
      <w:r w:rsidR="00FB480F">
        <w:rPr>
          <w:rFonts w:eastAsia="Times New Roman" w:cs="Times New Roman"/>
          <w:bCs/>
          <w:szCs w:val="24"/>
          <w:lang w:eastAsia="is-IS"/>
        </w:rPr>
        <w:t xml:space="preserve">a </w:t>
      </w:r>
      <w:r w:rsidR="00CE2759">
        <w:rPr>
          <w:rFonts w:eastAsia="Times New Roman" w:cs="Times New Roman"/>
          <w:bCs/>
          <w:szCs w:val="24"/>
          <w:lang w:eastAsia="is-IS"/>
        </w:rPr>
        <w:t>sem enn er óráðstafað. Ekki má gleyma því að gildistími þeirra þriggja tíðniheimilda</w:t>
      </w:r>
      <w:r w:rsidR="00EE1EE8">
        <w:rPr>
          <w:rFonts w:eastAsia="Times New Roman" w:cs="Times New Roman"/>
          <w:bCs/>
          <w:szCs w:val="24"/>
          <w:lang w:eastAsia="is-IS"/>
        </w:rPr>
        <w:t>,</w:t>
      </w:r>
      <w:r w:rsidR="00CE2759">
        <w:rPr>
          <w:rFonts w:eastAsia="Times New Roman" w:cs="Times New Roman"/>
          <w:bCs/>
          <w:szCs w:val="24"/>
          <w:lang w:eastAsia="is-IS"/>
        </w:rPr>
        <w:t xml:space="preserve"> sem þegar hafa verið úthlutaðar</w:t>
      </w:r>
      <w:r w:rsidR="00EE1EE8">
        <w:rPr>
          <w:rFonts w:eastAsia="Times New Roman" w:cs="Times New Roman"/>
          <w:bCs/>
          <w:szCs w:val="24"/>
          <w:lang w:eastAsia="is-IS"/>
        </w:rPr>
        <w:t>,</w:t>
      </w:r>
      <w:r w:rsidR="00CE2759">
        <w:rPr>
          <w:rFonts w:eastAsia="Times New Roman" w:cs="Times New Roman"/>
          <w:bCs/>
          <w:szCs w:val="24"/>
          <w:lang w:eastAsia="is-IS"/>
        </w:rPr>
        <w:t xml:space="preserve"> er til ársins 2022. Að óbreyttu myndi endurúthlutun þessara tíðniheimilda, þegar þar að kemur, sæta sömu skorðum og nú eru fyrir hendi varðandi </w:t>
      </w:r>
      <w:r w:rsidR="00FB480F">
        <w:rPr>
          <w:rFonts w:eastAsia="Times New Roman" w:cs="Times New Roman"/>
          <w:bCs/>
          <w:szCs w:val="24"/>
          <w:lang w:eastAsia="is-IS"/>
        </w:rPr>
        <w:t xml:space="preserve">úthlutun </w:t>
      </w:r>
      <w:r w:rsidR="00CE2759">
        <w:rPr>
          <w:rFonts w:eastAsia="Times New Roman" w:cs="Times New Roman"/>
          <w:bCs/>
          <w:szCs w:val="24"/>
          <w:lang w:eastAsia="is-IS"/>
        </w:rPr>
        <w:t xml:space="preserve">á </w:t>
      </w:r>
      <w:r w:rsidR="00FB480F">
        <w:rPr>
          <w:rFonts w:eastAsia="Times New Roman" w:cs="Times New Roman"/>
          <w:bCs/>
          <w:szCs w:val="24"/>
          <w:lang w:eastAsia="is-IS"/>
        </w:rPr>
        <w:t xml:space="preserve">þeim tíðnum </w:t>
      </w:r>
      <w:r w:rsidR="00CE2759">
        <w:rPr>
          <w:rFonts w:eastAsia="Times New Roman" w:cs="Times New Roman"/>
          <w:bCs/>
          <w:szCs w:val="24"/>
          <w:lang w:eastAsia="is-IS"/>
        </w:rPr>
        <w:t xml:space="preserve">sem enn er óráðstafað.  </w:t>
      </w:r>
    </w:p>
    <w:p w:rsidR="001E4672" w:rsidRDefault="001E4672" w:rsidP="00FE66B8">
      <w:pPr>
        <w:jc w:val="center"/>
        <w:rPr>
          <w:rFonts w:eastAsia="Times New Roman" w:cs="Times New Roman"/>
          <w:b/>
          <w:bCs/>
          <w:szCs w:val="24"/>
          <w:lang w:eastAsia="is-IS"/>
        </w:rPr>
      </w:pPr>
    </w:p>
    <w:p w:rsidR="00274C1A" w:rsidRPr="001A06D4" w:rsidRDefault="00274C1A" w:rsidP="00231A1E">
      <w:pPr>
        <w:rPr>
          <w:rFonts w:eastAsia="Times New Roman" w:cs="Times New Roman"/>
          <w:szCs w:val="24"/>
          <w:lang w:eastAsia="is-IS"/>
        </w:rPr>
      </w:pPr>
      <w:r>
        <w:rPr>
          <w:rFonts w:eastAsia="Times New Roman" w:cs="Times New Roman"/>
          <w:b/>
          <w:bCs/>
          <w:szCs w:val="24"/>
          <w:lang w:eastAsia="is-IS"/>
        </w:rPr>
        <w:t>VI. Mat á áhrifum</w:t>
      </w:r>
      <w:r w:rsidR="001339D7">
        <w:rPr>
          <w:rFonts w:eastAsia="Times New Roman" w:cs="Times New Roman"/>
          <w:b/>
          <w:bCs/>
          <w:szCs w:val="24"/>
          <w:lang w:eastAsia="is-IS"/>
        </w:rPr>
        <w:t>.</w:t>
      </w:r>
      <w:r>
        <w:rPr>
          <w:rFonts w:eastAsia="Times New Roman" w:cs="Times New Roman"/>
          <w:b/>
          <w:bCs/>
          <w:szCs w:val="24"/>
          <w:lang w:eastAsia="is-IS"/>
        </w:rPr>
        <w:t xml:space="preserve"> </w:t>
      </w:r>
    </w:p>
    <w:p w:rsidR="0007536C" w:rsidRDefault="00BF38FF" w:rsidP="00BF38FF">
      <w:pPr>
        <w:rPr>
          <w:rFonts w:eastAsia="Times New Roman" w:cs="Times New Roman"/>
          <w:bCs/>
          <w:szCs w:val="24"/>
          <w:lang w:eastAsia="is-IS"/>
        </w:rPr>
      </w:pPr>
      <w:r>
        <w:rPr>
          <w:rFonts w:eastAsia="Times New Roman" w:cs="Times New Roman"/>
          <w:szCs w:val="24"/>
          <w:lang w:eastAsia="is-IS"/>
        </w:rPr>
        <w:t>Í ljósi áhuga fjarskiptafyrirtækja um að nýta það tíðnisvið sem eftir er á 2100 MHz tíðnisviðinu má gera ráð fyrir</w:t>
      </w:r>
      <w:r w:rsidR="00C31DA0">
        <w:rPr>
          <w:rFonts w:eastAsia="Times New Roman" w:cs="Times New Roman"/>
          <w:szCs w:val="24"/>
          <w:lang w:eastAsia="is-IS"/>
        </w:rPr>
        <w:t xml:space="preserve"> </w:t>
      </w:r>
      <w:r>
        <w:rPr>
          <w:rFonts w:eastAsia="Times New Roman" w:cs="Times New Roman"/>
          <w:szCs w:val="24"/>
          <w:lang w:eastAsia="is-IS"/>
        </w:rPr>
        <w:t>að umsóknir um úthlutun á tíðnisviðinu muni berast frá einum eða fleiri aðilum</w:t>
      </w:r>
      <w:r w:rsidR="00C31DA0">
        <w:rPr>
          <w:rFonts w:eastAsia="Times New Roman" w:cs="Times New Roman"/>
          <w:szCs w:val="24"/>
          <w:lang w:eastAsia="is-IS"/>
        </w:rPr>
        <w:t xml:space="preserve"> í kjölfar afnáms laga nr. 8/2005 um þriðju kynslóð farsíma</w:t>
      </w:r>
      <w:r>
        <w:rPr>
          <w:rFonts w:eastAsia="Times New Roman" w:cs="Times New Roman"/>
          <w:szCs w:val="24"/>
          <w:lang w:eastAsia="is-IS"/>
        </w:rPr>
        <w:t>. Eins og áður er getið gilda almenn ákvæði laga um fjarskipt nr. 81/2003 um tíðniúthlutanir,</w:t>
      </w:r>
      <w:r w:rsidR="00C31DA0">
        <w:rPr>
          <w:rFonts w:eastAsia="Times New Roman" w:cs="Times New Roman"/>
          <w:szCs w:val="24"/>
          <w:lang w:eastAsia="is-IS"/>
        </w:rPr>
        <w:t xml:space="preserve"> </w:t>
      </w:r>
      <w:r>
        <w:rPr>
          <w:rFonts w:eastAsia="Times New Roman" w:cs="Times New Roman"/>
          <w:szCs w:val="24"/>
          <w:lang w:eastAsia="is-IS"/>
        </w:rPr>
        <w:t xml:space="preserve">auk reglugerðar </w:t>
      </w:r>
      <w:r w:rsidRPr="00BF38FF">
        <w:rPr>
          <w:rFonts w:eastAsia="Times New Roman" w:cs="Times New Roman"/>
          <w:bCs/>
          <w:szCs w:val="24"/>
          <w:lang w:eastAsia="is-IS"/>
        </w:rPr>
        <w:t>nr. 1047/2011 um skipulag og úthlutun tíðna í fjarskiptum</w:t>
      </w:r>
      <w:r>
        <w:rPr>
          <w:rFonts w:eastAsia="Times New Roman" w:cs="Times New Roman"/>
          <w:bCs/>
          <w:szCs w:val="24"/>
          <w:lang w:eastAsia="is-IS"/>
        </w:rPr>
        <w:t xml:space="preserve">. Málsmeðferð samkvæmt þessum reglum gerir almennt ráð </w:t>
      </w:r>
      <w:r w:rsidR="0007536C">
        <w:rPr>
          <w:rFonts w:eastAsia="Times New Roman" w:cs="Times New Roman"/>
          <w:bCs/>
          <w:szCs w:val="24"/>
          <w:lang w:eastAsia="is-IS"/>
        </w:rPr>
        <w:t xml:space="preserve">fyrir að efnt sé til samráðs um eftirspurn á tiltekinni tíðniúthlutun og að hún fari fram samkvæmt samkeppnisaðferð, þ.e. </w:t>
      </w:r>
      <w:r w:rsidR="00303FA3">
        <w:rPr>
          <w:rFonts w:eastAsia="Times New Roman" w:cs="Times New Roman"/>
          <w:bCs/>
          <w:szCs w:val="24"/>
          <w:lang w:eastAsia="is-IS"/>
        </w:rPr>
        <w:t xml:space="preserve">með </w:t>
      </w:r>
      <w:r w:rsidR="0007536C">
        <w:rPr>
          <w:rFonts w:eastAsia="Times New Roman" w:cs="Times New Roman"/>
          <w:bCs/>
          <w:szCs w:val="24"/>
          <w:lang w:eastAsia="is-IS"/>
        </w:rPr>
        <w:t xml:space="preserve">útboðs- eða uppboðsferli, ef </w:t>
      </w:r>
      <w:r w:rsidR="00C31DA0">
        <w:rPr>
          <w:rFonts w:eastAsia="Times New Roman" w:cs="Times New Roman"/>
          <w:bCs/>
          <w:szCs w:val="24"/>
          <w:lang w:eastAsia="is-IS"/>
        </w:rPr>
        <w:t>eftirspurn er jafn mikil eða meiri en framboð tíðna</w:t>
      </w:r>
      <w:r w:rsidR="0007536C">
        <w:rPr>
          <w:rFonts w:eastAsia="Times New Roman" w:cs="Times New Roman"/>
          <w:bCs/>
          <w:szCs w:val="24"/>
          <w:lang w:eastAsia="is-IS"/>
        </w:rPr>
        <w:t>.</w:t>
      </w:r>
    </w:p>
    <w:p w:rsidR="0007536C" w:rsidRDefault="0007536C" w:rsidP="00BF38FF">
      <w:pPr>
        <w:rPr>
          <w:rFonts w:eastAsia="Times New Roman" w:cs="Times New Roman"/>
          <w:bCs/>
          <w:szCs w:val="24"/>
          <w:lang w:eastAsia="is-IS"/>
        </w:rPr>
      </w:pPr>
    </w:p>
    <w:p w:rsidR="00072F12" w:rsidRDefault="0007536C" w:rsidP="00BF38FF">
      <w:pPr>
        <w:rPr>
          <w:rFonts w:eastAsia="Times New Roman" w:cs="Times New Roman"/>
          <w:bCs/>
          <w:szCs w:val="24"/>
          <w:lang w:eastAsia="is-IS"/>
        </w:rPr>
      </w:pPr>
      <w:r>
        <w:rPr>
          <w:rFonts w:eastAsia="Times New Roman" w:cs="Times New Roman"/>
          <w:bCs/>
          <w:szCs w:val="24"/>
          <w:lang w:eastAsia="is-IS"/>
        </w:rPr>
        <w:t xml:space="preserve">Hvað varðar gjaldtöku fyrir </w:t>
      </w:r>
      <w:r w:rsidR="008D0367">
        <w:rPr>
          <w:rFonts w:eastAsia="Times New Roman" w:cs="Times New Roman"/>
          <w:bCs/>
          <w:szCs w:val="24"/>
          <w:lang w:eastAsia="is-IS"/>
        </w:rPr>
        <w:t>tíðni</w:t>
      </w:r>
      <w:r>
        <w:rPr>
          <w:rFonts w:eastAsia="Times New Roman" w:cs="Times New Roman"/>
          <w:bCs/>
          <w:szCs w:val="24"/>
          <w:lang w:eastAsia="is-IS"/>
        </w:rPr>
        <w:t>úthlutun</w:t>
      </w:r>
      <w:r w:rsidR="00072F12">
        <w:rPr>
          <w:rFonts w:eastAsia="Times New Roman" w:cs="Times New Roman"/>
          <w:bCs/>
          <w:szCs w:val="24"/>
          <w:lang w:eastAsia="is-IS"/>
        </w:rPr>
        <w:t>,</w:t>
      </w:r>
      <w:r>
        <w:rPr>
          <w:rFonts w:eastAsia="Times New Roman" w:cs="Times New Roman"/>
          <w:bCs/>
          <w:szCs w:val="24"/>
          <w:lang w:eastAsia="is-IS"/>
        </w:rPr>
        <w:t xml:space="preserve"> </w:t>
      </w:r>
      <w:r w:rsidR="006145AF">
        <w:rPr>
          <w:rFonts w:eastAsia="Times New Roman" w:cs="Times New Roman"/>
          <w:bCs/>
          <w:szCs w:val="24"/>
          <w:lang w:eastAsia="is-IS"/>
        </w:rPr>
        <w:t xml:space="preserve">sem núverandi lög nr. 8/2005 um þriðju kynslóð farsíma gera ráð </w:t>
      </w:r>
      <w:r w:rsidR="00072F12">
        <w:rPr>
          <w:rFonts w:eastAsia="Times New Roman" w:cs="Times New Roman"/>
          <w:bCs/>
          <w:szCs w:val="24"/>
          <w:lang w:eastAsia="is-IS"/>
        </w:rPr>
        <w:t xml:space="preserve">fyrir með sérstöku ákvæði þar um, að þá getur hún byggt á </w:t>
      </w:r>
      <w:r w:rsidR="006145AF">
        <w:rPr>
          <w:rFonts w:eastAsia="Times New Roman" w:cs="Times New Roman"/>
          <w:bCs/>
          <w:szCs w:val="24"/>
          <w:lang w:eastAsia="is-IS"/>
        </w:rPr>
        <w:t>almenn</w:t>
      </w:r>
      <w:r w:rsidR="00072F12">
        <w:rPr>
          <w:rFonts w:eastAsia="Times New Roman" w:cs="Times New Roman"/>
          <w:bCs/>
          <w:szCs w:val="24"/>
          <w:lang w:eastAsia="is-IS"/>
        </w:rPr>
        <w:t xml:space="preserve">u </w:t>
      </w:r>
      <w:r w:rsidR="006145AF">
        <w:rPr>
          <w:rFonts w:eastAsia="Times New Roman" w:cs="Times New Roman"/>
          <w:bCs/>
          <w:szCs w:val="24"/>
          <w:lang w:eastAsia="is-IS"/>
        </w:rPr>
        <w:t>ákvæð</w:t>
      </w:r>
      <w:r w:rsidR="00072F12">
        <w:rPr>
          <w:rFonts w:eastAsia="Times New Roman" w:cs="Times New Roman"/>
          <w:bCs/>
          <w:szCs w:val="24"/>
          <w:lang w:eastAsia="is-IS"/>
        </w:rPr>
        <w:t xml:space="preserve">i </w:t>
      </w:r>
      <w:r w:rsidR="006145AF">
        <w:rPr>
          <w:rFonts w:eastAsia="Times New Roman" w:cs="Times New Roman"/>
          <w:bCs/>
          <w:szCs w:val="24"/>
          <w:lang w:eastAsia="is-IS"/>
        </w:rPr>
        <w:t xml:space="preserve">í fjarskiptalögum. Samkvæmt 7. mgr. 11. gr. laga um fjarskipti nr. 81/2003 getur Póst- og fjarskiptastofnun í tengslum við tíðniuppboð ákvarðað lágmarksboð sem </w:t>
      </w:r>
      <w:r w:rsidR="00344E7D">
        <w:rPr>
          <w:rFonts w:eastAsia="Times New Roman" w:cs="Times New Roman"/>
          <w:bCs/>
          <w:szCs w:val="24"/>
          <w:lang w:eastAsia="is-IS"/>
        </w:rPr>
        <w:t xml:space="preserve">getur </w:t>
      </w:r>
      <w:r w:rsidR="006145AF">
        <w:rPr>
          <w:rFonts w:eastAsia="Times New Roman" w:cs="Times New Roman"/>
          <w:bCs/>
          <w:szCs w:val="24"/>
          <w:lang w:eastAsia="is-IS"/>
        </w:rPr>
        <w:t>n</w:t>
      </w:r>
      <w:r w:rsidR="00344E7D">
        <w:rPr>
          <w:rFonts w:eastAsia="Times New Roman" w:cs="Times New Roman"/>
          <w:bCs/>
          <w:szCs w:val="24"/>
          <w:lang w:eastAsia="is-IS"/>
        </w:rPr>
        <w:t xml:space="preserve">umið </w:t>
      </w:r>
      <w:r w:rsidR="006145AF">
        <w:rPr>
          <w:rFonts w:eastAsia="Times New Roman" w:cs="Times New Roman"/>
          <w:bCs/>
          <w:szCs w:val="24"/>
          <w:lang w:eastAsia="is-IS"/>
        </w:rPr>
        <w:t xml:space="preserve">allt að fimmtánföldu </w:t>
      </w:r>
      <w:r w:rsidR="00344E7D">
        <w:rPr>
          <w:rFonts w:eastAsia="Times New Roman" w:cs="Times New Roman"/>
          <w:bCs/>
          <w:szCs w:val="24"/>
          <w:lang w:eastAsia="is-IS"/>
        </w:rPr>
        <w:t>ár</w:t>
      </w:r>
      <w:r w:rsidR="006145AF">
        <w:rPr>
          <w:rFonts w:eastAsia="Times New Roman" w:cs="Times New Roman"/>
          <w:bCs/>
          <w:szCs w:val="24"/>
          <w:lang w:eastAsia="is-IS"/>
        </w:rPr>
        <w:t>gjaldi</w:t>
      </w:r>
      <w:r w:rsidR="00344E7D">
        <w:rPr>
          <w:rFonts w:eastAsia="Times New Roman" w:cs="Times New Roman"/>
          <w:bCs/>
          <w:szCs w:val="24"/>
          <w:lang w:eastAsia="is-IS"/>
        </w:rPr>
        <w:t xml:space="preserve"> fyrir tíðninotkun, sbr. 14. gr. a. í lögum nr. 69/2003 um Póst- og fjarskiptastofnun. Árgjald fyrir þessa stærð af tíðni</w:t>
      </w:r>
      <w:r w:rsidR="00072F12">
        <w:rPr>
          <w:rFonts w:eastAsia="Times New Roman" w:cs="Times New Roman"/>
          <w:bCs/>
          <w:szCs w:val="24"/>
          <w:lang w:eastAsia="is-IS"/>
        </w:rPr>
        <w:t>s</w:t>
      </w:r>
      <w:r w:rsidR="00344E7D">
        <w:rPr>
          <w:rFonts w:eastAsia="Times New Roman" w:cs="Times New Roman"/>
          <w:bCs/>
          <w:szCs w:val="24"/>
          <w:lang w:eastAsia="is-IS"/>
        </w:rPr>
        <w:t>viði</w:t>
      </w:r>
      <w:r w:rsidR="00C31DA0">
        <w:rPr>
          <w:rFonts w:eastAsia="Times New Roman" w:cs="Times New Roman"/>
          <w:bCs/>
          <w:szCs w:val="24"/>
          <w:lang w:eastAsia="is-IS"/>
        </w:rPr>
        <w:t>,</w:t>
      </w:r>
      <w:r w:rsidR="00344E7D">
        <w:rPr>
          <w:rFonts w:eastAsia="Times New Roman" w:cs="Times New Roman"/>
          <w:bCs/>
          <w:szCs w:val="24"/>
          <w:lang w:eastAsia="is-IS"/>
        </w:rPr>
        <w:t xml:space="preserve"> til nota fyrir almennt farnet</w:t>
      </w:r>
      <w:r w:rsidR="00C31DA0">
        <w:rPr>
          <w:rFonts w:eastAsia="Times New Roman" w:cs="Times New Roman"/>
          <w:bCs/>
          <w:szCs w:val="24"/>
          <w:lang w:eastAsia="is-IS"/>
        </w:rPr>
        <w:t>,</w:t>
      </w:r>
      <w:r w:rsidR="00344E7D">
        <w:rPr>
          <w:rFonts w:eastAsia="Times New Roman" w:cs="Times New Roman"/>
          <w:bCs/>
          <w:szCs w:val="24"/>
          <w:lang w:eastAsia="is-IS"/>
        </w:rPr>
        <w:t xml:space="preserve"> er 8.977.500 kr.</w:t>
      </w:r>
      <w:r w:rsidR="00EE3E18">
        <w:rPr>
          <w:rFonts w:eastAsia="Times New Roman" w:cs="Times New Roman"/>
          <w:bCs/>
          <w:szCs w:val="24"/>
          <w:lang w:eastAsia="is-IS"/>
        </w:rPr>
        <w:t>, en samkvæmt því getur lágmarksboð numið allt að 134.662.500 kr. Komi til uppboðs á umræddri tíðniheimild má ætla að Póst- og fjarskiptastofnun ákvarði hæfilegt lámarksboð með tilliti til hversu íþyngjandi kv</w:t>
      </w:r>
      <w:r w:rsidR="00303FA3">
        <w:rPr>
          <w:rFonts w:eastAsia="Times New Roman" w:cs="Times New Roman"/>
          <w:bCs/>
          <w:szCs w:val="24"/>
          <w:lang w:eastAsia="is-IS"/>
        </w:rPr>
        <w:t xml:space="preserve">öðum </w:t>
      </w:r>
      <w:r w:rsidR="00EE3E18">
        <w:rPr>
          <w:rFonts w:eastAsia="Times New Roman" w:cs="Times New Roman"/>
          <w:bCs/>
          <w:szCs w:val="24"/>
          <w:lang w:eastAsia="is-IS"/>
        </w:rPr>
        <w:t>tíðniheimildin kann að ver</w:t>
      </w:r>
      <w:r w:rsidR="008D0367">
        <w:rPr>
          <w:rFonts w:eastAsia="Times New Roman" w:cs="Times New Roman"/>
          <w:bCs/>
          <w:szCs w:val="24"/>
          <w:lang w:eastAsia="is-IS"/>
        </w:rPr>
        <w:t>ð</w:t>
      </w:r>
      <w:r w:rsidR="00EE3E18">
        <w:rPr>
          <w:rFonts w:eastAsia="Times New Roman" w:cs="Times New Roman"/>
          <w:bCs/>
          <w:szCs w:val="24"/>
          <w:lang w:eastAsia="is-IS"/>
        </w:rPr>
        <w:t xml:space="preserve">a bundin. </w:t>
      </w:r>
      <w:r w:rsidR="00072F12">
        <w:rPr>
          <w:rFonts w:eastAsia="Times New Roman" w:cs="Times New Roman"/>
          <w:bCs/>
          <w:szCs w:val="24"/>
          <w:lang w:eastAsia="is-IS"/>
        </w:rPr>
        <w:t>Gjald sem greitt er fyrir tíðniheimild í uppboði rennur í í fjarskiptasjóð samkvæmt 2. mgr. 6. gr. laga um fjarskiptasjóð nr. 132/2005.</w:t>
      </w:r>
    </w:p>
    <w:p w:rsidR="00072F12" w:rsidRDefault="00072F12" w:rsidP="00BF38FF">
      <w:pPr>
        <w:rPr>
          <w:rFonts w:eastAsia="Times New Roman" w:cs="Times New Roman"/>
          <w:bCs/>
          <w:szCs w:val="24"/>
          <w:lang w:eastAsia="is-IS"/>
        </w:rPr>
      </w:pPr>
    </w:p>
    <w:p w:rsidR="008D0367" w:rsidRDefault="008D0367" w:rsidP="00BF38FF">
      <w:pPr>
        <w:rPr>
          <w:rFonts w:eastAsia="Times New Roman" w:cs="Times New Roman"/>
          <w:bCs/>
          <w:szCs w:val="24"/>
          <w:lang w:eastAsia="is-IS"/>
        </w:rPr>
      </w:pPr>
      <w:r>
        <w:rPr>
          <w:rFonts w:eastAsia="Times New Roman" w:cs="Times New Roman"/>
          <w:bCs/>
          <w:szCs w:val="24"/>
          <w:lang w:eastAsia="is-IS"/>
        </w:rPr>
        <w:t>Ekki er fyrirséð að afnám laga nr. 8/2005 um þriðju kynslóð farsíma hafi í för með sér kostnað fyrir ríkissjóð, þ.m.t. vegna mögulegrar vinnu við að úthluta þeirri tíðniheimild sem þá verður laus til úthlutunar</w:t>
      </w:r>
      <w:r w:rsidR="00C31DA0">
        <w:rPr>
          <w:rFonts w:eastAsia="Times New Roman" w:cs="Times New Roman"/>
          <w:bCs/>
          <w:szCs w:val="24"/>
          <w:lang w:eastAsia="is-IS"/>
        </w:rPr>
        <w:t xml:space="preserve"> samkvæmt almennum ákvæðum</w:t>
      </w:r>
      <w:r>
        <w:rPr>
          <w:rFonts w:eastAsia="Times New Roman" w:cs="Times New Roman"/>
          <w:bCs/>
          <w:szCs w:val="24"/>
          <w:lang w:eastAsia="is-IS"/>
        </w:rPr>
        <w:t xml:space="preserve">. </w:t>
      </w:r>
      <w:r w:rsidR="00C31DA0">
        <w:rPr>
          <w:rFonts w:eastAsia="Times New Roman" w:cs="Times New Roman"/>
          <w:bCs/>
          <w:szCs w:val="24"/>
          <w:lang w:eastAsia="is-IS"/>
        </w:rPr>
        <w:t xml:space="preserve">Póst- og fjarskiptastofnun er </w:t>
      </w:r>
      <w:r w:rsidR="00C31DA0">
        <w:rPr>
          <w:rFonts w:eastAsia="Times New Roman" w:cs="Times New Roman"/>
          <w:bCs/>
          <w:szCs w:val="24"/>
          <w:lang w:eastAsia="is-IS"/>
        </w:rPr>
        <w:lastRenderedPageBreak/>
        <w:t>heimilt að innheimta sérstakt gjald fyrir þátttöku í uppboði sem ætlað er að standa straum af kostnaði við undirbúning þess og framkvæmd.</w:t>
      </w:r>
    </w:p>
    <w:p w:rsidR="00072F12" w:rsidRDefault="00072F12" w:rsidP="00BF38FF">
      <w:pPr>
        <w:rPr>
          <w:rFonts w:eastAsia="Times New Roman" w:cs="Times New Roman"/>
          <w:bCs/>
          <w:szCs w:val="24"/>
          <w:lang w:eastAsia="is-IS"/>
        </w:rPr>
      </w:pPr>
    </w:p>
    <w:p w:rsidR="00BF38FF" w:rsidRDefault="00BF38FF" w:rsidP="00FE66B8">
      <w:pPr>
        <w:jc w:val="left"/>
        <w:rPr>
          <w:rFonts w:eastAsia="Times New Roman" w:cs="Times New Roman"/>
          <w:bCs/>
          <w:szCs w:val="24"/>
          <w:lang w:eastAsia="is-IS"/>
        </w:rPr>
      </w:pPr>
    </w:p>
    <w:p w:rsidR="00A36E32" w:rsidRDefault="00A36E32" w:rsidP="00FE66B8">
      <w:pPr>
        <w:jc w:val="left"/>
        <w:rPr>
          <w:rFonts w:eastAsia="Times New Roman" w:cs="Times New Roman"/>
          <w:szCs w:val="24"/>
          <w:lang w:eastAsia="is-IS"/>
        </w:rPr>
      </w:pPr>
    </w:p>
    <w:p w:rsidR="00231A1E" w:rsidRPr="00231A1E" w:rsidRDefault="00231A1E" w:rsidP="00231A1E">
      <w:pPr>
        <w:jc w:val="center"/>
        <w:rPr>
          <w:rFonts w:eastAsia="Times New Roman" w:cs="Times New Roman"/>
          <w:i/>
          <w:szCs w:val="24"/>
          <w:lang w:eastAsia="is-IS"/>
        </w:rPr>
      </w:pPr>
      <w:r w:rsidRPr="00231A1E">
        <w:rPr>
          <w:rFonts w:eastAsia="Times New Roman" w:cs="Times New Roman"/>
          <w:i/>
          <w:szCs w:val="24"/>
          <w:lang w:eastAsia="is-IS"/>
        </w:rPr>
        <w:t>Athugasemdir við einstakar greinar frumvarpsins</w:t>
      </w:r>
    </w:p>
    <w:p w:rsidR="00231A1E" w:rsidRDefault="00231A1E" w:rsidP="00231A1E">
      <w:pPr>
        <w:jc w:val="center"/>
        <w:rPr>
          <w:rFonts w:eastAsia="Times New Roman" w:cs="Times New Roman"/>
          <w:szCs w:val="24"/>
          <w:lang w:eastAsia="is-IS"/>
        </w:rPr>
      </w:pPr>
    </w:p>
    <w:p w:rsidR="00231A1E" w:rsidRDefault="00231A1E" w:rsidP="00231A1E">
      <w:pPr>
        <w:jc w:val="center"/>
        <w:rPr>
          <w:rFonts w:eastAsia="Times New Roman" w:cs="Times New Roman"/>
          <w:szCs w:val="24"/>
          <w:lang w:eastAsia="is-IS"/>
        </w:rPr>
      </w:pPr>
      <w:r>
        <w:rPr>
          <w:rFonts w:eastAsia="Times New Roman" w:cs="Times New Roman"/>
          <w:szCs w:val="24"/>
          <w:lang w:eastAsia="is-IS"/>
        </w:rPr>
        <w:t>Um 1. gr.</w:t>
      </w:r>
    </w:p>
    <w:p w:rsidR="00D244F8" w:rsidRDefault="00D244F8" w:rsidP="00231A1E">
      <w:pPr>
        <w:rPr>
          <w:rFonts w:eastAsia="Times New Roman" w:cs="Times New Roman"/>
          <w:szCs w:val="24"/>
          <w:lang w:eastAsia="is-IS"/>
        </w:rPr>
      </w:pPr>
    </w:p>
    <w:p w:rsidR="00231A1E" w:rsidRDefault="00231A1E" w:rsidP="00231A1E">
      <w:pPr>
        <w:rPr>
          <w:rFonts w:eastAsia="Times New Roman" w:cs="Times New Roman"/>
          <w:szCs w:val="24"/>
          <w:lang w:eastAsia="is-IS"/>
        </w:rPr>
      </w:pPr>
      <w:r>
        <w:rPr>
          <w:rFonts w:eastAsia="Times New Roman" w:cs="Times New Roman"/>
          <w:szCs w:val="24"/>
          <w:lang w:eastAsia="is-IS"/>
        </w:rPr>
        <w:t>Greinin þarfnast ekki skýringa.</w:t>
      </w:r>
    </w:p>
    <w:p w:rsidR="00231A1E" w:rsidRDefault="00231A1E" w:rsidP="00231A1E">
      <w:pPr>
        <w:rPr>
          <w:rFonts w:eastAsia="Times New Roman" w:cs="Times New Roman"/>
          <w:szCs w:val="24"/>
          <w:lang w:eastAsia="is-IS"/>
        </w:rPr>
      </w:pPr>
    </w:p>
    <w:p w:rsidR="00231A1E" w:rsidRDefault="00231A1E" w:rsidP="00231A1E">
      <w:pPr>
        <w:jc w:val="center"/>
        <w:rPr>
          <w:rFonts w:eastAsia="Times New Roman" w:cs="Times New Roman"/>
          <w:szCs w:val="24"/>
          <w:lang w:eastAsia="is-IS"/>
        </w:rPr>
      </w:pPr>
    </w:p>
    <w:p w:rsidR="00231A1E" w:rsidRDefault="00231A1E" w:rsidP="00231A1E">
      <w:pPr>
        <w:jc w:val="center"/>
        <w:rPr>
          <w:rFonts w:eastAsia="Times New Roman" w:cs="Times New Roman"/>
          <w:szCs w:val="24"/>
          <w:lang w:eastAsia="is-IS"/>
        </w:rPr>
      </w:pPr>
      <w:r>
        <w:rPr>
          <w:rFonts w:eastAsia="Times New Roman" w:cs="Times New Roman"/>
          <w:szCs w:val="24"/>
          <w:lang w:eastAsia="is-IS"/>
        </w:rPr>
        <w:t>Um 2. gr.</w:t>
      </w:r>
    </w:p>
    <w:p w:rsidR="00D244F8" w:rsidRDefault="00D244F8" w:rsidP="00231A1E">
      <w:pPr>
        <w:rPr>
          <w:rFonts w:eastAsia="Times New Roman" w:cs="Times New Roman"/>
          <w:szCs w:val="24"/>
          <w:lang w:eastAsia="is-IS"/>
        </w:rPr>
      </w:pPr>
    </w:p>
    <w:p w:rsidR="00231A1E" w:rsidRDefault="00231A1E" w:rsidP="00231A1E">
      <w:pPr>
        <w:rPr>
          <w:rFonts w:eastAsia="Times New Roman" w:cs="Times New Roman"/>
          <w:szCs w:val="24"/>
          <w:lang w:eastAsia="is-IS"/>
        </w:rPr>
      </w:pPr>
      <w:r>
        <w:rPr>
          <w:rFonts w:eastAsia="Times New Roman" w:cs="Times New Roman"/>
          <w:szCs w:val="24"/>
          <w:lang w:eastAsia="is-IS"/>
        </w:rPr>
        <w:t>Greinin þarfnast ekki skýringa.</w:t>
      </w:r>
    </w:p>
    <w:p w:rsidR="00231A1E" w:rsidRDefault="00231A1E" w:rsidP="00231A1E">
      <w:pPr>
        <w:jc w:val="center"/>
        <w:rPr>
          <w:rFonts w:eastAsia="Times New Roman" w:cs="Times New Roman"/>
          <w:szCs w:val="24"/>
          <w:lang w:eastAsia="is-IS"/>
        </w:rPr>
      </w:pPr>
    </w:p>
    <w:p w:rsidR="00231A1E" w:rsidRDefault="00231A1E" w:rsidP="00231A1E">
      <w:pPr>
        <w:jc w:val="center"/>
        <w:rPr>
          <w:rFonts w:eastAsia="Times New Roman" w:cs="Times New Roman"/>
          <w:szCs w:val="24"/>
          <w:lang w:eastAsia="is-IS"/>
        </w:rPr>
      </w:pPr>
      <w:r>
        <w:rPr>
          <w:rFonts w:eastAsia="Times New Roman" w:cs="Times New Roman"/>
          <w:szCs w:val="24"/>
          <w:lang w:eastAsia="is-IS"/>
        </w:rPr>
        <w:t>Um ákvæði til bráðabirgða</w:t>
      </w:r>
    </w:p>
    <w:p w:rsidR="00D244F8" w:rsidRDefault="00D244F8" w:rsidP="00231A1E">
      <w:pPr>
        <w:jc w:val="center"/>
        <w:rPr>
          <w:rFonts w:eastAsia="Times New Roman" w:cs="Times New Roman"/>
          <w:szCs w:val="24"/>
          <w:lang w:eastAsia="is-IS"/>
        </w:rPr>
      </w:pPr>
    </w:p>
    <w:p w:rsidR="00D17E2A" w:rsidRDefault="00D244F8" w:rsidP="00D244F8">
      <w:pPr>
        <w:rPr>
          <w:rFonts w:eastAsia="Times New Roman" w:cs="Times New Roman"/>
          <w:szCs w:val="24"/>
          <w:lang w:eastAsia="is-IS"/>
        </w:rPr>
      </w:pPr>
      <w:r>
        <w:rPr>
          <w:rFonts w:eastAsia="Times New Roman" w:cs="Times New Roman"/>
          <w:szCs w:val="24"/>
          <w:lang w:eastAsia="is-IS"/>
        </w:rPr>
        <w:t xml:space="preserve">Tilgangur frumvarpsins er að fella á brott lög nr. 8/2005 um þriðju kynslóð farsíma og með því auka hagkvæmni við </w:t>
      </w:r>
      <w:r w:rsidR="00727147">
        <w:rPr>
          <w:rFonts w:eastAsia="Times New Roman" w:cs="Times New Roman"/>
          <w:szCs w:val="24"/>
          <w:lang w:eastAsia="is-IS"/>
        </w:rPr>
        <w:t>framtíðar</w:t>
      </w:r>
      <w:r>
        <w:rPr>
          <w:rFonts w:eastAsia="Times New Roman" w:cs="Times New Roman"/>
          <w:szCs w:val="24"/>
          <w:lang w:eastAsia="is-IS"/>
        </w:rPr>
        <w:t>úthlut</w:t>
      </w:r>
      <w:r w:rsidR="00727147">
        <w:rPr>
          <w:rFonts w:eastAsia="Times New Roman" w:cs="Times New Roman"/>
          <w:szCs w:val="24"/>
          <w:lang w:eastAsia="is-IS"/>
        </w:rPr>
        <w:t xml:space="preserve">anir </w:t>
      </w:r>
      <w:r>
        <w:rPr>
          <w:rFonts w:eastAsia="Times New Roman" w:cs="Times New Roman"/>
          <w:szCs w:val="24"/>
          <w:lang w:eastAsia="is-IS"/>
        </w:rPr>
        <w:t>á 2100 MHz tíðnisviðinu og færa nýtingu þess til samræmis við alþjóðlegar skuldbinding</w:t>
      </w:r>
      <w:r w:rsidR="00A77279">
        <w:rPr>
          <w:rFonts w:eastAsia="Times New Roman" w:cs="Times New Roman"/>
          <w:szCs w:val="24"/>
          <w:lang w:eastAsia="is-IS"/>
        </w:rPr>
        <w:t>ar</w:t>
      </w:r>
      <w:r>
        <w:rPr>
          <w:rFonts w:eastAsia="Times New Roman" w:cs="Times New Roman"/>
          <w:szCs w:val="24"/>
          <w:lang w:eastAsia="is-IS"/>
        </w:rPr>
        <w:t xml:space="preserve">. Hins vegar verður að horfa til þess að þegar hafa verið gefnar út þrjár tíðniheimildir á grundvelli laganna og gilda þær til ársins 2022. Ekki er ætlunin með frumvarpinu </w:t>
      </w:r>
      <w:r w:rsidR="00A77279">
        <w:rPr>
          <w:rFonts w:eastAsia="Times New Roman" w:cs="Times New Roman"/>
          <w:szCs w:val="24"/>
          <w:lang w:eastAsia="is-IS"/>
        </w:rPr>
        <w:t xml:space="preserve">að umræddar </w:t>
      </w:r>
      <w:r w:rsidR="001571B2">
        <w:rPr>
          <w:rFonts w:eastAsia="Times New Roman" w:cs="Times New Roman"/>
          <w:szCs w:val="24"/>
          <w:lang w:eastAsia="is-IS"/>
        </w:rPr>
        <w:t xml:space="preserve">úthlutanir </w:t>
      </w:r>
      <w:r w:rsidR="00A77279">
        <w:rPr>
          <w:rFonts w:eastAsia="Times New Roman" w:cs="Times New Roman"/>
          <w:szCs w:val="24"/>
          <w:lang w:eastAsia="is-IS"/>
        </w:rPr>
        <w:t xml:space="preserve">falli </w:t>
      </w:r>
      <w:r w:rsidR="00D17E2A">
        <w:rPr>
          <w:rFonts w:eastAsia="Times New Roman" w:cs="Times New Roman"/>
          <w:szCs w:val="24"/>
          <w:lang w:eastAsia="is-IS"/>
        </w:rPr>
        <w:t xml:space="preserve">niður </w:t>
      </w:r>
      <w:r w:rsidR="00A77279">
        <w:rPr>
          <w:rFonts w:eastAsia="Times New Roman" w:cs="Times New Roman"/>
          <w:szCs w:val="24"/>
          <w:lang w:eastAsia="is-IS"/>
        </w:rPr>
        <w:t xml:space="preserve">eða skilmálar </w:t>
      </w:r>
      <w:r w:rsidR="001571B2">
        <w:rPr>
          <w:rFonts w:eastAsia="Times New Roman" w:cs="Times New Roman"/>
          <w:szCs w:val="24"/>
          <w:lang w:eastAsia="is-IS"/>
        </w:rPr>
        <w:t xml:space="preserve">tíðniheimildanna </w:t>
      </w:r>
      <w:r w:rsidR="00D17E2A">
        <w:rPr>
          <w:rFonts w:eastAsia="Times New Roman" w:cs="Times New Roman"/>
          <w:szCs w:val="24"/>
          <w:lang w:eastAsia="is-IS"/>
        </w:rPr>
        <w:t xml:space="preserve">missi gildi sitt. Til að taka af allan vafa um að </w:t>
      </w:r>
      <w:r w:rsidR="00A3466C">
        <w:rPr>
          <w:rFonts w:eastAsia="Times New Roman" w:cs="Times New Roman"/>
          <w:szCs w:val="24"/>
          <w:lang w:eastAsia="is-IS"/>
        </w:rPr>
        <w:t xml:space="preserve">allar </w:t>
      </w:r>
      <w:r w:rsidR="00D17E2A">
        <w:rPr>
          <w:rFonts w:eastAsia="Times New Roman" w:cs="Times New Roman"/>
          <w:szCs w:val="24"/>
          <w:lang w:eastAsia="is-IS"/>
        </w:rPr>
        <w:t xml:space="preserve">þær kvaðir sem hvíla á tíðnirétthöfum, samkvæmt skilmálum tíðniheimildanna, haldi gildi sínu þykir rétt að mæla fyrir um sérstaka lagastoð vegna þeirra sem hafi gildistíma út líftíma kvaðanna eða til </w:t>
      </w:r>
      <w:r w:rsidR="00A3466C">
        <w:rPr>
          <w:rFonts w:eastAsia="Times New Roman" w:cs="Times New Roman"/>
          <w:szCs w:val="24"/>
          <w:lang w:eastAsia="is-IS"/>
        </w:rPr>
        <w:t>30. mars 2022. Dæmi um kvaðir sem mikilvægt er að haldi gildi sínu er</w:t>
      </w:r>
      <w:r w:rsidR="003113FB">
        <w:rPr>
          <w:rFonts w:eastAsia="Times New Roman" w:cs="Times New Roman"/>
          <w:szCs w:val="24"/>
          <w:lang w:eastAsia="is-IS"/>
        </w:rPr>
        <w:t>u</w:t>
      </w:r>
      <w:r w:rsidR="00A3466C">
        <w:rPr>
          <w:rFonts w:eastAsia="Times New Roman" w:cs="Times New Roman"/>
          <w:szCs w:val="24"/>
          <w:lang w:eastAsia="is-IS"/>
        </w:rPr>
        <w:t xml:space="preserve"> t.d.</w:t>
      </w:r>
      <w:r w:rsidR="003113FB">
        <w:rPr>
          <w:rFonts w:eastAsia="Times New Roman" w:cs="Times New Roman"/>
          <w:szCs w:val="24"/>
          <w:lang w:eastAsia="is-IS"/>
        </w:rPr>
        <w:t xml:space="preserve"> </w:t>
      </w:r>
      <w:r w:rsidR="00A3466C">
        <w:rPr>
          <w:rFonts w:eastAsia="Times New Roman" w:cs="Times New Roman"/>
          <w:szCs w:val="24"/>
          <w:lang w:eastAsia="is-IS"/>
        </w:rPr>
        <w:t xml:space="preserve">skuldbindingar um útbreiðslu þjónustu og viðmið um hvernig skuli mæla </w:t>
      </w:r>
      <w:r w:rsidR="003113FB">
        <w:rPr>
          <w:rFonts w:eastAsia="Times New Roman" w:cs="Times New Roman"/>
          <w:szCs w:val="24"/>
          <w:lang w:eastAsia="is-IS"/>
        </w:rPr>
        <w:t>útbreiðslu.</w:t>
      </w:r>
      <w:r w:rsidR="001571B2">
        <w:rPr>
          <w:rFonts w:eastAsia="Times New Roman" w:cs="Times New Roman"/>
          <w:szCs w:val="24"/>
          <w:lang w:eastAsia="is-IS"/>
        </w:rPr>
        <w:t xml:space="preserve"> </w:t>
      </w:r>
      <w:r w:rsidR="009250FC">
        <w:rPr>
          <w:rFonts w:eastAsia="Times New Roman" w:cs="Times New Roman"/>
          <w:szCs w:val="24"/>
          <w:lang w:eastAsia="is-IS"/>
        </w:rPr>
        <w:t xml:space="preserve">Verði frumvarp þetta að lögum kann þó að koma til þess </w:t>
      </w:r>
      <w:r w:rsidR="001571B2">
        <w:rPr>
          <w:rFonts w:eastAsia="Times New Roman" w:cs="Times New Roman"/>
          <w:szCs w:val="24"/>
          <w:lang w:eastAsia="is-IS"/>
        </w:rPr>
        <w:t>að Póst- og</w:t>
      </w:r>
      <w:r w:rsidR="009250FC">
        <w:rPr>
          <w:rFonts w:eastAsia="Times New Roman" w:cs="Times New Roman"/>
          <w:szCs w:val="24"/>
          <w:lang w:eastAsia="is-IS"/>
        </w:rPr>
        <w:t xml:space="preserve"> fjarskiptastofnun geri</w:t>
      </w:r>
      <w:r w:rsidR="00727147">
        <w:rPr>
          <w:rFonts w:eastAsia="Times New Roman" w:cs="Times New Roman"/>
          <w:szCs w:val="24"/>
          <w:lang w:eastAsia="is-IS"/>
        </w:rPr>
        <w:t xml:space="preserve"> 2100 MHz</w:t>
      </w:r>
      <w:r w:rsidR="009250FC">
        <w:rPr>
          <w:rFonts w:eastAsia="Times New Roman" w:cs="Times New Roman"/>
          <w:szCs w:val="24"/>
          <w:lang w:eastAsia="is-IS"/>
        </w:rPr>
        <w:t xml:space="preserve"> tíðnisviðið tæknilega hlutlaust og breyti skilmálum </w:t>
      </w:r>
      <w:r w:rsidR="005F07B8">
        <w:rPr>
          <w:rFonts w:eastAsia="Times New Roman" w:cs="Times New Roman"/>
          <w:szCs w:val="24"/>
          <w:lang w:eastAsia="is-IS"/>
        </w:rPr>
        <w:t xml:space="preserve">gildandi </w:t>
      </w:r>
      <w:r w:rsidR="009250FC">
        <w:rPr>
          <w:rFonts w:eastAsia="Times New Roman" w:cs="Times New Roman"/>
          <w:szCs w:val="24"/>
          <w:lang w:eastAsia="is-IS"/>
        </w:rPr>
        <w:t>tíðniheimilda</w:t>
      </w:r>
      <w:r w:rsidR="005F07B8">
        <w:rPr>
          <w:rFonts w:eastAsia="Times New Roman" w:cs="Times New Roman"/>
          <w:szCs w:val="24"/>
          <w:lang w:eastAsia="is-IS"/>
        </w:rPr>
        <w:t xml:space="preserve"> </w:t>
      </w:r>
      <w:r w:rsidR="009250FC">
        <w:rPr>
          <w:rFonts w:eastAsia="Times New Roman" w:cs="Times New Roman"/>
          <w:szCs w:val="24"/>
          <w:lang w:eastAsia="is-IS"/>
        </w:rPr>
        <w:t xml:space="preserve">til samræmis við það. </w:t>
      </w:r>
      <w:r w:rsidR="002C56D5">
        <w:rPr>
          <w:rFonts w:eastAsia="Times New Roman" w:cs="Times New Roman"/>
          <w:szCs w:val="24"/>
          <w:lang w:eastAsia="is-IS"/>
        </w:rPr>
        <w:t>Slík breyting myndi ekki hafa áhrif á útbreiðslukröfur farnetsþjónustunnar.</w:t>
      </w:r>
      <w:r w:rsidR="009250FC">
        <w:rPr>
          <w:rFonts w:eastAsia="Times New Roman" w:cs="Times New Roman"/>
          <w:szCs w:val="24"/>
          <w:lang w:eastAsia="is-IS"/>
        </w:rPr>
        <w:t xml:space="preserve">  </w:t>
      </w:r>
      <w:r w:rsidR="001571B2">
        <w:rPr>
          <w:rFonts w:eastAsia="Times New Roman" w:cs="Times New Roman"/>
          <w:szCs w:val="24"/>
          <w:lang w:eastAsia="is-IS"/>
        </w:rPr>
        <w:t xml:space="preserve"> </w:t>
      </w:r>
      <w:r w:rsidR="003113FB">
        <w:rPr>
          <w:rFonts w:eastAsia="Times New Roman" w:cs="Times New Roman"/>
          <w:szCs w:val="24"/>
          <w:lang w:eastAsia="is-IS"/>
        </w:rPr>
        <w:t xml:space="preserve"> </w:t>
      </w:r>
      <w:r w:rsidR="00A3466C">
        <w:rPr>
          <w:rFonts w:eastAsia="Times New Roman" w:cs="Times New Roman"/>
          <w:szCs w:val="24"/>
          <w:lang w:eastAsia="is-IS"/>
        </w:rPr>
        <w:t xml:space="preserve"> </w:t>
      </w:r>
      <w:r w:rsidR="00D17E2A">
        <w:rPr>
          <w:rFonts w:eastAsia="Times New Roman" w:cs="Times New Roman"/>
          <w:szCs w:val="24"/>
          <w:lang w:eastAsia="is-IS"/>
        </w:rPr>
        <w:t xml:space="preserve">     </w:t>
      </w:r>
    </w:p>
    <w:p w:rsidR="00D17E2A" w:rsidRDefault="00D17E2A" w:rsidP="00D244F8">
      <w:pPr>
        <w:rPr>
          <w:rFonts w:eastAsia="Times New Roman" w:cs="Times New Roman"/>
          <w:szCs w:val="24"/>
          <w:lang w:eastAsia="is-IS"/>
        </w:rPr>
      </w:pPr>
    </w:p>
    <w:p w:rsidR="00D17E2A" w:rsidRDefault="00D17E2A" w:rsidP="00D244F8">
      <w:pPr>
        <w:rPr>
          <w:rFonts w:eastAsia="Times New Roman" w:cs="Times New Roman"/>
          <w:szCs w:val="24"/>
          <w:lang w:eastAsia="is-IS"/>
        </w:rPr>
      </w:pPr>
    </w:p>
    <w:p w:rsidR="00D244F8" w:rsidRDefault="00D244F8" w:rsidP="00D244F8">
      <w:pPr>
        <w:rPr>
          <w:rFonts w:eastAsia="Times New Roman" w:cs="Times New Roman"/>
          <w:szCs w:val="24"/>
          <w:lang w:eastAsia="is-IS"/>
        </w:rPr>
      </w:pPr>
      <w:r>
        <w:rPr>
          <w:rFonts w:eastAsia="Times New Roman" w:cs="Times New Roman"/>
          <w:szCs w:val="24"/>
          <w:lang w:eastAsia="is-IS"/>
        </w:rPr>
        <w:t xml:space="preserve"> </w:t>
      </w:r>
    </w:p>
    <w:p w:rsidR="001A06D4" w:rsidRPr="001A06D4" w:rsidRDefault="001A06D4" w:rsidP="00231A1E">
      <w:pPr>
        <w:jc w:val="center"/>
        <w:rPr>
          <w:rFonts w:eastAsia="Times New Roman" w:cs="Times New Roman"/>
          <w:szCs w:val="24"/>
          <w:lang w:eastAsia="is-IS"/>
        </w:rPr>
      </w:pPr>
      <w:r w:rsidRPr="001A06D4">
        <w:rPr>
          <w:rFonts w:eastAsia="Times New Roman" w:cs="Times New Roman"/>
          <w:szCs w:val="24"/>
          <w:lang w:eastAsia="is-IS"/>
        </w:rPr>
        <w:br/>
      </w:r>
    </w:p>
    <w:sectPr w:rsidR="001A06D4" w:rsidRPr="001A06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67" w:rsidRDefault="00A23A67" w:rsidP="00B8629A">
      <w:r>
        <w:separator/>
      </w:r>
    </w:p>
  </w:endnote>
  <w:endnote w:type="continuationSeparator" w:id="0">
    <w:p w:rsidR="00A23A67" w:rsidRDefault="00A23A67" w:rsidP="00B8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26" w:rsidRDefault="0006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088955"/>
      <w:docPartObj>
        <w:docPartGallery w:val="Page Numbers (Bottom of Page)"/>
        <w:docPartUnique/>
      </w:docPartObj>
    </w:sdtPr>
    <w:sdtEndPr>
      <w:rPr>
        <w:noProof/>
      </w:rPr>
    </w:sdtEndPr>
    <w:sdtContent>
      <w:p w:rsidR="00B8629A" w:rsidRDefault="00B8629A">
        <w:pPr>
          <w:pStyle w:val="Footer"/>
          <w:jc w:val="center"/>
        </w:pPr>
        <w:r>
          <w:fldChar w:fldCharType="begin"/>
        </w:r>
        <w:r>
          <w:instrText>PAGE   \* MERGEFORMAT</w:instrText>
        </w:r>
        <w:r>
          <w:fldChar w:fldCharType="separate"/>
        </w:r>
        <w:r w:rsidR="006851B3">
          <w:rPr>
            <w:noProof/>
          </w:rPr>
          <w:t>2</w:t>
        </w:r>
        <w:r>
          <w:rPr>
            <w:noProof/>
          </w:rPr>
          <w:fldChar w:fldCharType="end"/>
        </w:r>
      </w:p>
    </w:sdtContent>
  </w:sdt>
  <w:p w:rsidR="00B8629A" w:rsidRDefault="00B86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26" w:rsidRDefault="0006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67" w:rsidRDefault="00A23A67" w:rsidP="00B8629A">
      <w:r>
        <w:separator/>
      </w:r>
    </w:p>
  </w:footnote>
  <w:footnote w:type="continuationSeparator" w:id="0">
    <w:p w:rsidR="00A23A67" w:rsidRDefault="00A23A67" w:rsidP="00B8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26" w:rsidRDefault="006851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59502" o:spid="_x0000_s2050"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26" w:rsidRDefault="006851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59503"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26" w:rsidRDefault="006851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59501" o:spid="_x0000_s2049"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1BF3"/>
    <w:multiLevelType w:val="hybridMultilevel"/>
    <w:tmpl w:val="DAE03D38"/>
    <w:lvl w:ilvl="0" w:tplc="A5F8A824">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3F987BAB"/>
    <w:multiLevelType w:val="hybridMultilevel"/>
    <w:tmpl w:val="88A0EEFC"/>
    <w:lvl w:ilvl="0" w:tplc="040F000F">
      <w:start w:val="1"/>
      <w:numFmt w:val="decimal"/>
      <w:lvlText w:val="%1."/>
      <w:lvlJc w:val="left"/>
      <w:pPr>
        <w:ind w:left="720" w:hanging="360"/>
      </w:pPr>
      <w:rPr>
        <w:rFonts w:hint="default"/>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556A12C3"/>
    <w:multiLevelType w:val="hybridMultilevel"/>
    <w:tmpl w:val="387A0E3E"/>
    <w:lvl w:ilvl="0" w:tplc="66B82770">
      <w:start w:val="1"/>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78B51610"/>
    <w:multiLevelType w:val="hybridMultilevel"/>
    <w:tmpl w:val="99C00178"/>
    <w:lvl w:ilvl="0" w:tplc="040F000F">
      <w:start w:val="1"/>
      <w:numFmt w:val="decimal"/>
      <w:lvlText w:val="%1."/>
      <w:lvlJc w:val="left"/>
      <w:pPr>
        <w:ind w:left="720" w:hanging="360"/>
      </w:pPr>
      <w:rPr>
        <w:rFonts w:hint="default"/>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7D4046C5"/>
    <w:multiLevelType w:val="hybridMultilevel"/>
    <w:tmpl w:val="B3847CA4"/>
    <w:lvl w:ilvl="0" w:tplc="E6E43B42">
      <w:start w:val="5"/>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D4"/>
    <w:rsid w:val="00041D12"/>
    <w:rsid w:val="000444C1"/>
    <w:rsid w:val="00064926"/>
    <w:rsid w:val="00072F12"/>
    <w:rsid w:val="0007536C"/>
    <w:rsid w:val="000906E3"/>
    <w:rsid w:val="000A5249"/>
    <w:rsid w:val="000C7FE6"/>
    <w:rsid w:val="000D6816"/>
    <w:rsid w:val="000F5ED3"/>
    <w:rsid w:val="001215B2"/>
    <w:rsid w:val="001252A5"/>
    <w:rsid w:val="00131157"/>
    <w:rsid w:val="001339D7"/>
    <w:rsid w:val="00144608"/>
    <w:rsid w:val="001571B2"/>
    <w:rsid w:val="00187AA2"/>
    <w:rsid w:val="001A06D4"/>
    <w:rsid w:val="001A41C9"/>
    <w:rsid w:val="001E0ACC"/>
    <w:rsid w:val="001E4672"/>
    <w:rsid w:val="00220F27"/>
    <w:rsid w:val="00221AD3"/>
    <w:rsid w:val="00231A1E"/>
    <w:rsid w:val="002407BF"/>
    <w:rsid w:val="002545F4"/>
    <w:rsid w:val="00274C1A"/>
    <w:rsid w:val="002A6869"/>
    <w:rsid w:val="002C56D5"/>
    <w:rsid w:val="00303FA3"/>
    <w:rsid w:val="003113FB"/>
    <w:rsid w:val="00344E7D"/>
    <w:rsid w:val="00394243"/>
    <w:rsid w:val="003B4035"/>
    <w:rsid w:val="003B5ADF"/>
    <w:rsid w:val="003D6388"/>
    <w:rsid w:val="00402B42"/>
    <w:rsid w:val="00414B42"/>
    <w:rsid w:val="00473DED"/>
    <w:rsid w:val="004771F7"/>
    <w:rsid w:val="0049232C"/>
    <w:rsid w:val="004A2BFC"/>
    <w:rsid w:val="004C511B"/>
    <w:rsid w:val="00525579"/>
    <w:rsid w:val="00531B87"/>
    <w:rsid w:val="005448C0"/>
    <w:rsid w:val="005747E8"/>
    <w:rsid w:val="005E03EF"/>
    <w:rsid w:val="005F07B8"/>
    <w:rsid w:val="006145AF"/>
    <w:rsid w:val="00667740"/>
    <w:rsid w:val="006728CA"/>
    <w:rsid w:val="006851B3"/>
    <w:rsid w:val="00692B99"/>
    <w:rsid w:val="006B542C"/>
    <w:rsid w:val="006F12BC"/>
    <w:rsid w:val="00702BF6"/>
    <w:rsid w:val="00727147"/>
    <w:rsid w:val="00731C16"/>
    <w:rsid w:val="0079293B"/>
    <w:rsid w:val="007E72D8"/>
    <w:rsid w:val="008932D4"/>
    <w:rsid w:val="008A6466"/>
    <w:rsid w:val="008D0367"/>
    <w:rsid w:val="00905925"/>
    <w:rsid w:val="009250FC"/>
    <w:rsid w:val="009578FA"/>
    <w:rsid w:val="009A6313"/>
    <w:rsid w:val="00A23A67"/>
    <w:rsid w:val="00A31D01"/>
    <w:rsid w:val="00A3466C"/>
    <w:rsid w:val="00A36E32"/>
    <w:rsid w:val="00A622F6"/>
    <w:rsid w:val="00A66689"/>
    <w:rsid w:val="00A77279"/>
    <w:rsid w:val="00A85D70"/>
    <w:rsid w:val="00AC72B1"/>
    <w:rsid w:val="00AC792D"/>
    <w:rsid w:val="00AD3462"/>
    <w:rsid w:val="00AF785C"/>
    <w:rsid w:val="00B01182"/>
    <w:rsid w:val="00B07DFF"/>
    <w:rsid w:val="00B75C8F"/>
    <w:rsid w:val="00B8629A"/>
    <w:rsid w:val="00BC157B"/>
    <w:rsid w:val="00BD1CE9"/>
    <w:rsid w:val="00BF38FF"/>
    <w:rsid w:val="00C31DA0"/>
    <w:rsid w:val="00C53D7D"/>
    <w:rsid w:val="00C643F9"/>
    <w:rsid w:val="00CC62E4"/>
    <w:rsid w:val="00CE2759"/>
    <w:rsid w:val="00D11C5E"/>
    <w:rsid w:val="00D179F7"/>
    <w:rsid w:val="00D17E2A"/>
    <w:rsid w:val="00D244F8"/>
    <w:rsid w:val="00D540D6"/>
    <w:rsid w:val="00D6156A"/>
    <w:rsid w:val="00D76AAD"/>
    <w:rsid w:val="00D918B4"/>
    <w:rsid w:val="00D96AD5"/>
    <w:rsid w:val="00DE5F82"/>
    <w:rsid w:val="00E43ED3"/>
    <w:rsid w:val="00E6006B"/>
    <w:rsid w:val="00E91208"/>
    <w:rsid w:val="00EE1EE8"/>
    <w:rsid w:val="00EE3E18"/>
    <w:rsid w:val="00F203E5"/>
    <w:rsid w:val="00F31D0A"/>
    <w:rsid w:val="00F64363"/>
    <w:rsid w:val="00F72789"/>
    <w:rsid w:val="00F8050E"/>
    <w:rsid w:val="00FB480F"/>
    <w:rsid w:val="00FE349D"/>
    <w:rsid w:val="00FE66B8"/>
    <w:rsid w:val="00FF4B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s-I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D4"/>
    <w:pPr>
      <w:spacing w:before="100" w:beforeAutospacing="1" w:after="100" w:afterAutospacing="1"/>
      <w:jc w:val="left"/>
    </w:pPr>
    <w:rPr>
      <w:rFonts w:eastAsia="Times New Roman" w:cs="Times New Roman"/>
      <w:szCs w:val="24"/>
      <w:lang w:eastAsia="is-IS"/>
    </w:rPr>
  </w:style>
  <w:style w:type="character" w:customStyle="1" w:styleId="verylarge">
    <w:name w:val="verylarge"/>
    <w:basedOn w:val="DefaultParagraphFont"/>
    <w:rsid w:val="001A06D4"/>
  </w:style>
  <w:style w:type="paragraph" w:styleId="ListParagraph">
    <w:name w:val="List Paragraph"/>
    <w:basedOn w:val="Normal"/>
    <w:uiPriority w:val="34"/>
    <w:qFormat/>
    <w:rsid w:val="00473DED"/>
    <w:pPr>
      <w:ind w:left="720"/>
      <w:contextualSpacing/>
    </w:pPr>
  </w:style>
  <w:style w:type="table" w:styleId="TableGrid">
    <w:name w:val="Table Grid"/>
    <w:basedOn w:val="TableNormal"/>
    <w:uiPriority w:val="39"/>
    <w:rsid w:val="00144608"/>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444C1"/>
    <w:rPr>
      <w:sz w:val="20"/>
      <w:szCs w:val="20"/>
    </w:rPr>
  </w:style>
  <w:style w:type="character" w:customStyle="1" w:styleId="CommentTextChar">
    <w:name w:val="Comment Text Char"/>
    <w:basedOn w:val="DefaultParagraphFont"/>
    <w:link w:val="CommentText"/>
    <w:uiPriority w:val="99"/>
    <w:rsid w:val="000444C1"/>
    <w:rPr>
      <w:sz w:val="20"/>
      <w:szCs w:val="20"/>
    </w:rPr>
  </w:style>
  <w:style w:type="character" w:styleId="CommentReference">
    <w:name w:val="annotation reference"/>
    <w:basedOn w:val="DefaultParagraphFont"/>
    <w:uiPriority w:val="99"/>
    <w:semiHidden/>
    <w:unhideWhenUsed/>
    <w:rsid w:val="00692B99"/>
    <w:rPr>
      <w:sz w:val="16"/>
      <w:szCs w:val="16"/>
    </w:rPr>
  </w:style>
  <w:style w:type="paragraph" w:styleId="BalloonText">
    <w:name w:val="Balloon Text"/>
    <w:basedOn w:val="Normal"/>
    <w:link w:val="BalloonTextChar"/>
    <w:uiPriority w:val="99"/>
    <w:semiHidden/>
    <w:unhideWhenUsed/>
    <w:rsid w:val="00692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99"/>
    <w:rPr>
      <w:rFonts w:ascii="Segoe UI" w:hAnsi="Segoe UI" w:cs="Segoe UI"/>
      <w:sz w:val="18"/>
      <w:szCs w:val="18"/>
    </w:rPr>
  </w:style>
  <w:style w:type="paragraph" w:styleId="Header">
    <w:name w:val="header"/>
    <w:basedOn w:val="Normal"/>
    <w:link w:val="HeaderChar"/>
    <w:uiPriority w:val="99"/>
    <w:unhideWhenUsed/>
    <w:rsid w:val="00B8629A"/>
    <w:pPr>
      <w:tabs>
        <w:tab w:val="center" w:pos="4536"/>
        <w:tab w:val="right" w:pos="9072"/>
      </w:tabs>
    </w:pPr>
  </w:style>
  <w:style w:type="character" w:customStyle="1" w:styleId="HeaderChar">
    <w:name w:val="Header Char"/>
    <w:basedOn w:val="DefaultParagraphFont"/>
    <w:link w:val="Header"/>
    <w:uiPriority w:val="99"/>
    <w:rsid w:val="00B8629A"/>
  </w:style>
  <w:style w:type="paragraph" w:styleId="Footer">
    <w:name w:val="footer"/>
    <w:basedOn w:val="Normal"/>
    <w:link w:val="FooterChar"/>
    <w:uiPriority w:val="99"/>
    <w:unhideWhenUsed/>
    <w:rsid w:val="00B8629A"/>
    <w:pPr>
      <w:tabs>
        <w:tab w:val="center" w:pos="4536"/>
        <w:tab w:val="right" w:pos="9072"/>
      </w:tabs>
    </w:pPr>
  </w:style>
  <w:style w:type="character" w:customStyle="1" w:styleId="FooterChar">
    <w:name w:val="Footer Char"/>
    <w:basedOn w:val="DefaultParagraphFont"/>
    <w:link w:val="Footer"/>
    <w:uiPriority w:val="99"/>
    <w:rsid w:val="00B86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s-I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D4"/>
    <w:pPr>
      <w:spacing w:before="100" w:beforeAutospacing="1" w:after="100" w:afterAutospacing="1"/>
      <w:jc w:val="left"/>
    </w:pPr>
    <w:rPr>
      <w:rFonts w:eastAsia="Times New Roman" w:cs="Times New Roman"/>
      <w:szCs w:val="24"/>
      <w:lang w:eastAsia="is-IS"/>
    </w:rPr>
  </w:style>
  <w:style w:type="character" w:customStyle="1" w:styleId="verylarge">
    <w:name w:val="verylarge"/>
    <w:basedOn w:val="DefaultParagraphFont"/>
    <w:rsid w:val="001A06D4"/>
  </w:style>
  <w:style w:type="paragraph" w:styleId="ListParagraph">
    <w:name w:val="List Paragraph"/>
    <w:basedOn w:val="Normal"/>
    <w:uiPriority w:val="34"/>
    <w:qFormat/>
    <w:rsid w:val="00473DED"/>
    <w:pPr>
      <w:ind w:left="720"/>
      <w:contextualSpacing/>
    </w:pPr>
  </w:style>
  <w:style w:type="table" w:styleId="TableGrid">
    <w:name w:val="Table Grid"/>
    <w:basedOn w:val="TableNormal"/>
    <w:uiPriority w:val="39"/>
    <w:rsid w:val="00144608"/>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444C1"/>
    <w:rPr>
      <w:sz w:val="20"/>
      <w:szCs w:val="20"/>
    </w:rPr>
  </w:style>
  <w:style w:type="character" w:customStyle="1" w:styleId="CommentTextChar">
    <w:name w:val="Comment Text Char"/>
    <w:basedOn w:val="DefaultParagraphFont"/>
    <w:link w:val="CommentText"/>
    <w:uiPriority w:val="99"/>
    <w:rsid w:val="000444C1"/>
    <w:rPr>
      <w:sz w:val="20"/>
      <w:szCs w:val="20"/>
    </w:rPr>
  </w:style>
  <w:style w:type="character" w:styleId="CommentReference">
    <w:name w:val="annotation reference"/>
    <w:basedOn w:val="DefaultParagraphFont"/>
    <w:uiPriority w:val="99"/>
    <w:semiHidden/>
    <w:unhideWhenUsed/>
    <w:rsid w:val="00692B99"/>
    <w:rPr>
      <w:sz w:val="16"/>
      <w:szCs w:val="16"/>
    </w:rPr>
  </w:style>
  <w:style w:type="paragraph" w:styleId="BalloonText">
    <w:name w:val="Balloon Text"/>
    <w:basedOn w:val="Normal"/>
    <w:link w:val="BalloonTextChar"/>
    <w:uiPriority w:val="99"/>
    <w:semiHidden/>
    <w:unhideWhenUsed/>
    <w:rsid w:val="00692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99"/>
    <w:rPr>
      <w:rFonts w:ascii="Segoe UI" w:hAnsi="Segoe UI" w:cs="Segoe UI"/>
      <w:sz w:val="18"/>
      <w:szCs w:val="18"/>
    </w:rPr>
  </w:style>
  <w:style w:type="paragraph" w:styleId="Header">
    <w:name w:val="header"/>
    <w:basedOn w:val="Normal"/>
    <w:link w:val="HeaderChar"/>
    <w:uiPriority w:val="99"/>
    <w:unhideWhenUsed/>
    <w:rsid w:val="00B8629A"/>
    <w:pPr>
      <w:tabs>
        <w:tab w:val="center" w:pos="4536"/>
        <w:tab w:val="right" w:pos="9072"/>
      </w:tabs>
    </w:pPr>
  </w:style>
  <w:style w:type="character" w:customStyle="1" w:styleId="HeaderChar">
    <w:name w:val="Header Char"/>
    <w:basedOn w:val="DefaultParagraphFont"/>
    <w:link w:val="Header"/>
    <w:uiPriority w:val="99"/>
    <w:rsid w:val="00B8629A"/>
  </w:style>
  <w:style w:type="paragraph" w:styleId="Footer">
    <w:name w:val="footer"/>
    <w:basedOn w:val="Normal"/>
    <w:link w:val="FooterChar"/>
    <w:uiPriority w:val="99"/>
    <w:unhideWhenUsed/>
    <w:rsid w:val="00B8629A"/>
    <w:pPr>
      <w:tabs>
        <w:tab w:val="center" w:pos="4536"/>
        <w:tab w:val="right" w:pos="9072"/>
      </w:tabs>
    </w:pPr>
  </w:style>
  <w:style w:type="character" w:customStyle="1" w:styleId="FooterChar">
    <w:name w:val="Footer Char"/>
    <w:basedOn w:val="DefaultParagraphFont"/>
    <w:link w:val="Footer"/>
    <w:uiPriority w:val="99"/>
    <w:rsid w:val="00B8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3051">
      <w:bodyDiv w:val="1"/>
      <w:marLeft w:val="0"/>
      <w:marRight w:val="0"/>
      <w:marTop w:val="0"/>
      <w:marBottom w:val="0"/>
      <w:divBdr>
        <w:top w:val="none" w:sz="0" w:space="0" w:color="auto"/>
        <w:left w:val="none" w:sz="0" w:space="0" w:color="auto"/>
        <w:bottom w:val="none" w:sz="0" w:space="0" w:color="auto"/>
        <w:right w:val="none" w:sz="0" w:space="0" w:color="auto"/>
      </w:divBdr>
      <w:divsChild>
        <w:div w:id="1352489425">
          <w:marLeft w:val="0"/>
          <w:marRight w:val="0"/>
          <w:marTop w:val="0"/>
          <w:marBottom w:val="0"/>
          <w:divBdr>
            <w:top w:val="none" w:sz="0" w:space="0" w:color="auto"/>
            <w:left w:val="none" w:sz="0" w:space="0" w:color="auto"/>
            <w:bottom w:val="none" w:sz="0" w:space="0" w:color="auto"/>
            <w:right w:val="none" w:sz="0" w:space="0" w:color="auto"/>
          </w:divBdr>
          <w:divsChild>
            <w:div w:id="2050566329">
              <w:marLeft w:val="0"/>
              <w:marRight w:val="0"/>
              <w:marTop w:val="0"/>
              <w:marBottom w:val="0"/>
              <w:divBdr>
                <w:top w:val="none" w:sz="0" w:space="0" w:color="auto"/>
                <w:left w:val="none" w:sz="0" w:space="0" w:color="auto"/>
                <w:bottom w:val="none" w:sz="0" w:space="0" w:color="auto"/>
                <w:right w:val="none" w:sz="0" w:space="0" w:color="auto"/>
              </w:divBdr>
              <w:divsChild>
                <w:div w:id="919485591">
                  <w:marLeft w:val="0"/>
                  <w:marRight w:val="0"/>
                  <w:marTop w:val="0"/>
                  <w:marBottom w:val="0"/>
                  <w:divBdr>
                    <w:top w:val="none" w:sz="0" w:space="0" w:color="auto"/>
                    <w:left w:val="none" w:sz="0" w:space="0" w:color="auto"/>
                    <w:bottom w:val="none" w:sz="0" w:space="0" w:color="auto"/>
                    <w:right w:val="none" w:sz="0" w:space="0" w:color="auto"/>
                  </w:divBdr>
                  <w:divsChild>
                    <w:div w:id="454830985">
                      <w:marLeft w:val="0"/>
                      <w:marRight w:val="0"/>
                      <w:marTop w:val="0"/>
                      <w:marBottom w:val="0"/>
                      <w:divBdr>
                        <w:top w:val="none" w:sz="0" w:space="0" w:color="auto"/>
                        <w:left w:val="none" w:sz="0" w:space="0" w:color="auto"/>
                        <w:bottom w:val="none" w:sz="0" w:space="0" w:color="auto"/>
                        <w:right w:val="none" w:sz="0" w:space="0" w:color="auto"/>
                      </w:divBdr>
                      <w:divsChild>
                        <w:div w:id="1489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76255">
      <w:bodyDiv w:val="1"/>
      <w:marLeft w:val="0"/>
      <w:marRight w:val="0"/>
      <w:marTop w:val="0"/>
      <w:marBottom w:val="0"/>
      <w:divBdr>
        <w:top w:val="none" w:sz="0" w:space="0" w:color="auto"/>
        <w:left w:val="none" w:sz="0" w:space="0" w:color="auto"/>
        <w:bottom w:val="none" w:sz="0" w:space="0" w:color="auto"/>
        <w:right w:val="none" w:sz="0" w:space="0" w:color="auto"/>
      </w:divBdr>
      <w:divsChild>
        <w:div w:id="1701396253">
          <w:marLeft w:val="0"/>
          <w:marRight w:val="0"/>
          <w:marTop w:val="0"/>
          <w:marBottom w:val="0"/>
          <w:divBdr>
            <w:top w:val="none" w:sz="0" w:space="0" w:color="auto"/>
            <w:left w:val="none" w:sz="0" w:space="0" w:color="auto"/>
            <w:bottom w:val="none" w:sz="0" w:space="0" w:color="auto"/>
            <w:right w:val="none" w:sz="0" w:space="0" w:color="auto"/>
          </w:divBdr>
          <w:divsChild>
            <w:div w:id="1809739099">
              <w:marLeft w:val="0"/>
              <w:marRight w:val="0"/>
              <w:marTop w:val="0"/>
              <w:marBottom w:val="0"/>
              <w:divBdr>
                <w:top w:val="none" w:sz="0" w:space="0" w:color="auto"/>
                <w:left w:val="none" w:sz="0" w:space="0" w:color="auto"/>
                <w:bottom w:val="none" w:sz="0" w:space="0" w:color="auto"/>
                <w:right w:val="none" w:sz="0" w:space="0" w:color="auto"/>
              </w:divBdr>
              <w:divsChild>
                <w:div w:id="1255047003">
                  <w:marLeft w:val="-225"/>
                  <w:marRight w:val="-225"/>
                  <w:marTop w:val="0"/>
                  <w:marBottom w:val="0"/>
                  <w:divBdr>
                    <w:top w:val="none" w:sz="0" w:space="0" w:color="auto"/>
                    <w:left w:val="none" w:sz="0" w:space="0" w:color="auto"/>
                    <w:bottom w:val="none" w:sz="0" w:space="0" w:color="auto"/>
                    <w:right w:val="none" w:sz="0" w:space="0" w:color="auto"/>
                  </w:divBdr>
                  <w:divsChild>
                    <w:div w:id="467864572">
                      <w:marLeft w:val="0"/>
                      <w:marRight w:val="0"/>
                      <w:marTop w:val="0"/>
                      <w:marBottom w:val="0"/>
                      <w:divBdr>
                        <w:top w:val="none" w:sz="0" w:space="0" w:color="auto"/>
                        <w:left w:val="none" w:sz="0" w:space="0" w:color="auto"/>
                        <w:bottom w:val="none" w:sz="0" w:space="0" w:color="auto"/>
                        <w:right w:val="none" w:sz="0" w:space="0" w:color="auto"/>
                      </w:divBdr>
                      <w:divsChild>
                        <w:div w:id="11904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36AE-3A9F-4AB3-AE14-39C5387A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Geirsson</dc:creator>
  <cp:lastModifiedBy>Jóhannes Tómasson</cp:lastModifiedBy>
  <cp:revision>2</cp:revision>
  <cp:lastPrinted>2015-09-01T17:25:00Z</cp:lastPrinted>
  <dcterms:created xsi:type="dcterms:W3CDTF">2015-09-02T09:38:00Z</dcterms:created>
  <dcterms:modified xsi:type="dcterms:W3CDTF">2015-09-02T09:38:00Z</dcterms:modified>
</cp:coreProperties>
</file>